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89"/>
        <w:gridCol w:w="2789"/>
        <w:gridCol w:w="2790"/>
        <w:gridCol w:w="2790"/>
        <w:gridCol w:w="2790"/>
      </w:tblGrid>
      <w:tr w:rsidR="008E1E5D" w:rsidRPr="008E1E5D" w14:paraId="250737ED" w14:textId="77777777" w:rsidTr="008E1E5D">
        <w:tc>
          <w:tcPr>
            <w:tcW w:w="2789" w:type="dxa"/>
          </w:tcPr>
          <w:p w14:paraId="2F9FFAD8" w14:textId="2393613E" w:rsidR="008E1E5D" w:rsidRPr="008E1E5D" w:rsidRDefault="008E1E5D" w:rsidP="008E1E5D">
            <w:pPr>
              <w:jc w:val="center"/>
              <w:rPr>
                <w:b/>
                <w:bCs/>
              </w:rPr>
            </w:pPr>
            <w:r>
              <w:rPr>
                <w:b/>
                <w:bCs/>
              </w:rPr>
              <w:t>Policy Name</w:t>
            </w:r>
          </w:p>
        </w:tc>
        <w:tc>
          <w:tcPr>
            <w:tcW w:w="2789" w:type="dxa"/>
          </w:tcPr>
          <w:p w14:paraId="2766F4BB" w14:textId="10C05140" w:rsidR="008E1E5D" w:rsidRPr="008E1E5D" w:rsidRDefault="008E1E5D" w:rsidP="008E1E5D">
            <w:pPr>
              <w:jc w:val="center"/>
              <w:rPr>
                <w:b/>
                <w:bCs/>
              </w:rPr>
            </w:pPr>
            <w:r>
              <w:rPr>
                <w:b/>
                <w:bCs/>
              </w:rPr>
              <w:t>Policy Description</w:t>
            </w:r>
          </w:p>
        </w:tc>
        <w:tc>
          <w:tcPr>
            <w:tcW w:w="2790" w:type="dxa"/>
          </w:tcPr>
          <w:p w14:paraId="20348AEA" w14:textId="77777777" w:rsidR="008E1E5D" w:rsidRDefault="008E1E5D" w:rsidP="008E1E5D">
            <w:pPr>
              <w:jc w:val="center"/>
              <w:rPr>
                <w:b/>
                <w:bCs/>
              </w:rPr>
            </w:pPr>
            <w:r>
              <w:rPr>
                <w:b/>
                <w:bCs/>
              </w:rPr>
              <w:t>Sector Policy</w:t>
            </w:r>
          </w:p>
          <w:p w14:paraId="33C76F9E" w14:textId="06372682" w:rsidR="008E1E5D" w:rsidRPr="008E1E5D" w:rsidRDefault="008E1E5D" w:rsidP="008E1E5D">
            <w:pPr>
              <w:jc w:val="center"/>
              <w:rPr>
                <w:b/>
                <w:bCs/>
              </w:rPr>
            </w:pPr>
            <w:r>
              <w:rPr>
                <w:b/>
                <w:bCs/>
              </w:rPr>
              <w:t>(Yes/No)</w:t>
            </w:r>
          </w:p>
        </w:tc>
        <w:tc>
          <w:tcPr>
            <w:tcW w:w="2790" w:type="dxa"/>
          </w:tcPr>
          <w:p w14:paraId="0511D765" w14:textId="348114D2" w:rsidR="008E1E5D" w:rsidRPr="008E1E5D" w:rsidRDefault="008E1E5D" w:rsidP="008E1E5D">
            <w:pPr>
              <w:jc w:val="center"/>
              <w:rPr>
                <w:b/>
                <w:bCs/>
              </w:rPr>
            </w:pPr>
            <w:r>
              <w:rPr>
                <w:b/>
                <w:bCs/>
              </w:rPr>
              <w:t>Equality Screening Date</w:t>
            </w:r>
          </w:p>
        </w:tc>
        <w:tc>
          <w:tcPr>
            <w:tcW w:w="2790" w:type="dxa"/>
          </w:tcPr>
          <w:p w14:paraId="1880ECC0" w14:textId="17689E73" w:rsidR="008E1E5D" w:rsidRPr="008E1E5D" w:rsidRDefault="008E1E5D" w:rsidP="008E1E5D">
            <w:pPr>
              <w:jc w:val="center"/>
              <w:rPr>
                <w:b/>
                <w:bCs/>
              </w:rPr>
            </w:pPr>
            <w:r>
              <w:rPr>
                <w:b/>
                <w:bCs/>
              </w:rPr>
              <w:t>Equality Screening Outcome</w:t>
            </w:r>
          </w:p>
        </w:tc>
      </w:tr>
      <w:tr w:rsidR="008E1E5D" w14:paraId="52D36078" w14:textId="77777777" w:rsidTr="008E1E5D">
        <w:tc>
          <w:tcPr>
            <w:tcW w:w="2789" w:type="dxa"/>
          </w:tcPr>
          <w:p w14:paraId="20F93F17" w14:textId="04FA4EBC" w:rsidR="008E1E5D" w:rsidRDefault="00D648A0">
            <w:r>
              <w:t xml:space="preserve">No Smoking/Vaping </w:t>
            </w:r>
            <w:r w:rsidR="008E1E5D">
              <w:t>Policy</w:t>
            </w:r>
          </w:p>
        </w:tc>
        <w:tc>
          <w:tcPr>
            <w:tcW w:w="2789" w:type="dxa"/>
          </w:tcPr>
          <w:p w14:paraId="7A9A6F41" w14:textId="77777777" w:rsidR="007B628E" w:rsidRPr="007B628E" w:rsidRDefault="007B628E" w:rsidP="007B628E">
            <w:pPr>
              <w:rPr>
                <w:rFonts w:eastAsia="Times New Roman" w:cstheme="minorHAnsi"/>
              </w:rPr>
            </w:pPr>
            <w:r w:rsidRPr="007B628E">
              <w:rPr>
                <w:rFonts w:eastAsia="Times New Roman" w:cstheme="minorHAnsi"/>
              </w:rPr>
              <w:t>The aim of the Non Smoking Policy is to guarantee the right of non-smokers to breathe smoke-free air, whilst also taking into account the needs of those who smoke. The policy is not concerned with whether people smoke, but where they smoke whilst at work and in public places.</w:t>
            </w:r>
          </w:p>
          <w:p w14:paraId="14F60D7B" w14:textId="3059A84D" w:rsidR="008E1E5D" w:rsidRDefault="008E1E5D"/>
        </w:tc>
        <w:tc>
          <w:tcPr>
            <w:tcW w:w="2790" w:type="dxa"/>
          </w:tcPr>
          <w:p w14:paraId="3E6FDD08" w14:textId="6ECB870D" w:rsidR="008E1E5D" w:rsidRDefault="008E1E5D" w:rsidP="008E1E5D">
            <w:pPr>
              <w:jc w:val="center"/>
            </w:pPr>
            <w:r>
              <w:t>No</w:t>
            </w:r>
          </w:p>
        </w:tc>
        <w:tc>
          <w:tcPr>
            <w:tcW w:w="2790" w:type="dxa"/>
          </w:tcPr>
          <w:p w14:paraId="647F6255" w14:textId="505A5370" w:rsidR="008E1E5D" w:rsidRDefault="00540AF1" w:rsidP="008E1E5D">
            <w:pPr>
              <w:jc w:val="center"/>
            </w:pPr>
            <w:r>
              <w:t xml:space="preserve">Initially screened </w:t>
            </w:r>
            <w:r w:rsidR="00E671EB">
              <w:t xml:space="preserve">April 2018 but reviewed and May 2021 following a change in policy (extension of </w:t>
            </w:r>
            <w:r w:rsidR="004B3702">
              <w:t>smoking restrictions)</w:t>
            </w:r>
            <w:r w:rsidR="00E671EB">
              <w:t xml:space="preserve"> and title</w:t>
            </w:r>
            <w:r w:rsidR="004B3702">
              <w:t>.</w:t>
            </w:r>
          </w:p>
        </w:tc>
        <w:tc>
          <w:tcPr>
            <w:tcW w:w="2790" w:type="dxa"/>
          </w:tcPr>
          <w:p w14:paraId="65C1DEBC" w14:textId="77777777" w:rsidR="008E1E5D" w:rsidRDefault="008E1E5D" w:rsidP="008E1E5D">
            <w:pPr>
              <w:jc w:val="center"/>
            </w:pPr>
            <w:r>
              <w:t>Screened out.</w:t>
            </w:r>
          </w:p>
          <w:p w14:paraId="05EC3C56" w14:textId="242052C6" w:rsidR="008E1E5D" w:rsidRDefault="008E1E5D" w:rsidP="008E1E5D">
            <w:pPr>
              <w:jc w:val="center"/>
            </w:pPr>
          </w:p>
        </w:tc>
      </w:tr>
      <w:tr w:rsidR="008E1E5D" w14:paraId="7FD6A794" w14:textId="77777777" w:rsidTr="008E1E5D">
        <w:tc>
          <w:tcPr>
            <w:tcW w:w="2789" w:type="dxa"/>
          </w:tcPr>
          <w:p w14:paraId="1228C266" w14:textId="3631D51D" w:rsidR="008E1E5D" w:rsidRDefault="0009347C">
            <w:r>
              <w:t>Centre Determined Grades Policy</w:t>
            </w:r>
          </w:p>
        </w:tc>
        <w:tc>
          <w:tcPr>
            <w:tcW w:w="2789" w:type="dxa"/>
          </w:tcPr>
          <w:p w14:paraId="40B67E9F" w14:textId="091260B0" w:rsidR="008E1E5D" w:rsidRDefault="0009347C" w:rsidP="0009347C">
            <w:pPr>
              <w:jc w:val="both"/>
            </w:pPr>
            <w:r>
              <w:t xml:space="preserve">This Policy set out how </w:t>
            </w:r>
            <w:r w:rsidR="004B67C0">
              <w:t xml:space="preserve">the College </w:t>
            </w:r>
            <w:r w:rsidR="00592BB5">
              <w:t>would manage the allocation of grades following the cancellation of examinations summer 2021 in line with CCEA guidance.</w:t>
            </w:r>
          </w:p>
        </w:tc>
        <w:tc>
          <w:tcPr>
            <w:tcW w:w="2790" w:type="dxa"/>
          </w:tcPr>
          <w:p w14:paraId="3424831D" w14:textId="0289B354" w:rsidR="008E1E5D" w:rsidRDefault="008E1E5D" w:rsidP="008E1E5D">
            <w:pPr>
              <w:jc w:val="center"/>
            </w:pPr>
            <w:r>
              <w:t>No</w:t>
            </w:r>
          </w:p>
        </w:tc>
        <w:tc>
          <w:tcPr>
            <w:tcW w:w="2790" w:type="dxa"/>
          </w:tcPr>
          <w:p w14:paraId="77C6B1D8" w14:textId="24D42265" w:rsidR="008E1E5D" w:rsidRDefault="0009347C" w:rsidP="008E1E5D">
            <w:pPr>
              <w:jc w:val="center"/>
            </w:pPr>
            <w:r>
              <w:t>19 April 2021</w:t>
            </w:r>
          </w:p>
        </w:tc>
        <w:tc>
          <w:tcPr>
            <w:tcW w:w="2790" w:type="dxa"/>
          </w:tcPr>
          <w:p w14:paraId="06749D03" w14:textId="77777777" w:rsidR="008E1E5D" w:rsidRDefault="008E1E5D" w:rsidP="008E1E5D">
            <w:pPr>
              <w:jc w:val="center"/>
            </w:pPr>
            <w:r>
              <w:t>Screened out.</w:t>
            </w:r>
          </w:p>
          <w:p w14:paraId="1CA1A228" w14:textId="071440DD" w:rsidR="008E1E5D" w:rsidRDefault="008E1E5D" w:rsidP="008E1E5D">
            <w:pPr>
              <w:jc w:val="center"/>
            </w:pPr>
          </w:p>
        </w:tc>
      </w:tr>
      <w:tr w:rsidR="008E1E5D" w14:paraId="49A83C05" w14:textId="77777777" w:rsidTr="008E1E5D">
        <w:tc>
          <w:tcPr>
            <w:tcW w:w="2789" w:type="dxa"/>
          </w:tcPr>
          <w:p w14:paraId="68E7CACE" w14:textId="6EBD566B" w:rsidR="008E1E5D" w:rsidRDefault="00592BB5">
            <w:r>
              <w:t xml:space="preserve">Access Arrangements for Examinations </w:t>
            </w:r>
          </w:p>
        </w:tc>
        <w:tc>
          <w:tcPr>
            <w:tcW w:w="2789" w:type="dxa"/>
          </w:tcPr>
          <w:p w14:paraId="1F5C2C5C" w14:textId="2230980E" w:rsidR="008E1E5D" w:rsidRDefault="00855A7E">
            <w:r>
              <w:t xml:space="preserve">This document sets out how the College manages adjustments for students </w:t>
            </w:r>
            <w:r w:rsidR="00C50362">
              <w:t>with a disability to enable them to sit an examination.</w:t>
            </w:r>
          </w:p>
        </w:tc>
        <w:tc>
          <w:tcPr>
            <w:tcW w:w="2790" w:type="dxa"/>
          </w:tcPr>
          <w:p w14:paraId="2E1E9200" w14:textId="740924D9" w:rsidR="008E1E5D" w:rsidRDefault="005277B0" w:rsidP="008E1E5D">
            <w:pPr>
              <w:jc w:val="center"/>
            </w:pPr>
            <w:r>
              <w:t>No</w:t>
            </w:r>
          </w:p>
        </w:tc>
        <w:tc>
          <w:tcPr>
            <w:tcW w:w="2790" w:type="dxa"/>
          </w:tcPr>
          <w:p w14:paraId="65D3D5E6" w14:textId="2DABAA19" w:rsidR="008E1E5D" w:rsidRDefault="00823586" w:rsidP="008E1E5D">
            <w:pPr>
              <w:jc w:val="center"/>
            </w:pPr>
            <w:r>
              <w:t>05/10/2021</w:t>
            </w:r>
          </w:p>
        </w:tc>
        <w:tc>
          <w:tcPr>
            <w:tcW w:w="2790" w:type="dxa"/>
          </w:tcPr>
          <w:p w14:paraId="6A06371B" w14:textId="77777777" w:rsidR="008E1E5D" w:rsidRDefault="00256E3E" w:rsidP="008E1E5D">
            <w:pPr>
              <w:jc w:val="center"/>
            </w:pPr>
            <w:r>
              <w:t>Screened out</w:t>
            </w:r>
          </w:p>
          <w:p w14:paraId="0AC1D8D6" w14:textId="2F0903FA" w:rsidR="00256E3E" w:rsidRDefault="00256E3E" w:rsidP="008E1E5D">
            <w:pPr>
              <w:jc w:val="center"/>
            </w:pPr>
          </w:p>
        </w:tc>
      </w:tr>
    </w:tbl>
    <w:p w14:paraId="0185E439" w14:textId="77777777" w:rsidR="00514724" w:rsidRDefault="00514724"/>
    <w:sectPr w:rsidR="00514724" w:rsidSect="008E1E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D"/>
    <w:rsid w:val="0009347C"/>
    <w:rsid w:val="00197FC0"/>
    <w:rsid w:val="00256E3E"/>
    <w:rsid w:val="002C784D"/>
    <w:rsid w:val="00326D03"/>
    <w:rsid w:val="003503C9"/>
    <w:rsid w:val="003B6B90"/>
    <w:rsid w:val="004B3702"/>
    <w:rsid w:val="004B67C0"/>
    <w:rsid w:val="00514724"/>
    <w:rsid w:val="005277B0"/>
    <w:rsid w:val="00540AF1"/>
    <w:rsid w:val="00592BB5"/>
    <w:rsid w:val="007B628E"/>
    <w:rsid w:val="00823586"/>
    <w:rsid w:val="00855A7E"/>
    <w:rsid w:val="008B1AE6"/>
    <w:rsid w:val="008E1E5D"/>
    <w:rsid w:val="00BD0717"/>
    <w:rsid w:val="00C50362"/>
    <w:rsid w:val="00D648A0"/>
    <w:rsid w:val="00E671EB"/>
    <w:rsid w:val="00F4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30E4"/>
  <w15:chartTrackingRefBased/>
  <w15:docId w15:val="{8B4AEC78-A4C9-420B-A80B-F854EA5E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F32E9-B05A-43C8-9E49-A7BED013BBC8}">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2.xml><?xml version="1.0" encoding="utf-8"?>
<ds:datastoreItem xmlns:ds="http://schemas.openxmlformats.org/officeDocument/2006/customXml" ds:itemID="{5515FC7B-9D80-48CD-855E-A4EF69F82F90}">
  <ds:schemaRefs>
    <ds:schemaRef ds:uri="http://schemas.microsoft.com/sharepoint/v3/contenttype/forms"/>
  </ds:schemaRefs>
</ds:datastoreItem>
</file>

<file path=customXml/itemProps3.xml><?xml version="1.0" encoding="utf-8"?>
<ds:datastoreItem xmlns:ds="http://schemas.openxmlformats.org/officeDocument/2006/customXml" ds:itemID="{DD469337-3B8C-4E57-AA58-4E7586441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Mary Coffey (MCoffey)</cp:lastModifiedBy>
  <cp:revision>16</cp:revision>
  <dcterms:created xsi:type="dcterms:W3CDTF">2022-09-15T15:50:00Z</dcterms:created>
  <dcterms:modified xsi:type="dcterms:W3CDTF">2022-10-26T15:36:00Z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ediaServiceImageTags">
    <vt:lpwstr/>
  </property>
</Properties>
</file>