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2A7" w14:textId="07BCE520" w:rsidR="003A5780" w:rsidRDefault="00A61E6D" w:rsidP="00AB39FA">
      <w:pPr>
        <w:tabs>
          <w:tab w:val="left" w:pos="3285"/>
        </w:tabs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9B5538F" wp14:editId="22973509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34145" cy="10638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145" cy="1063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80">
        <w:tab/>
      </w:r>
      <w:r w:rsidR="004B3D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1EEE3F" wp14:editId="41A6BE54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657975" cy="9100820"/>
                <wp:effectExtent l="0" t="0" r="0" b="5080"/>
                <wp:wrapSquare wrapText="bothSides"/>
                <wp:docPr id="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0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47C2" w14:textId="77777777" w:rsidR="003A5780" w:rsidRDefault="003A5780" w:rsidP="003A578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8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797"/>
                              <w:gridCol w:w="1417"/>
                            </w:tblGrid>
                            <w:tr w:rsidR="003A5780" w:rsidRPr="00696BE4" w14:paraId="0E498751" w14:textId="77777777" w:rsidTr="00860BEA">
                              <w:trPr>
                                <w:tblHeader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shd w:val="clear" w:color="auto" w:fill="8496B0" w:themeFill="text2" w:themeFillTint="99"/>
                                </w:tcPr>
                                <w:p w14:paraId="6A16B55D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8496B0" w:themeFill="text2" w:themeFillTint="99"/>
                                </w:tcPr>
                                <w:p w14:paraId="0438B377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 xml:space="preserve">Lead </w:t>
                                  </w:r>
                                </w:p>
                              </w:tc>
                            </w:tr>
                            <w:tr w:rsidR="003A5780" w14:paraId="12982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5D8F2E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203554" w:themeColor="accent2" w:themeShade="80"/>
                                    </w:rPr>
                                  </w:pPr>
                                  <w:r w:rsidRPr="00CE0F51"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04 19/20</w:t>
                                  </w:r>
                                </w:p>
                                <w:p w14:paraId="5EEBAF3B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12AE5B6E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Governance Guidance and Information</w:t>
                                  </w:r>
                                </w:p>
                                <w:p w14:paraId="45F63B24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47A60E" w14:textId="49103E76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>FE 02/</w:t>
                                  </w:r>
                                  <w:r w:rsidR="00C7686C" w:rsidRPr="00D67E32">
                                    <w:t>19 Further</w:t>
                                  </w:r>
                                  <w:r w:rsidRPr="00D67E32">
                                    <w:t xml:space="preserve"> Education (FE) College Accounts Direction issued 31 July 2019 </w:t>
                                  </w:r>
                                </w:p>
                                <w:p w14:paraId="61BA0F9F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F62AD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</w:pPr>
                                  <w:r w:rsidRPr="00D67E32"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  <w:t>Publications from Accountability &amp; Financial Management Division</w:t>
                                  </w:r>
                                </w:p>
                                <w:p w14:paraId="33D753E7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ab/>
                                  </w:r>
                                  <w:hyperlink w:anchor="mctoc1" w:history="1">
                                    <w:r w:rsidRPr="009D7A12">
                                      <w:rPr>
                                        <w:rStyle w:val="Hyperlink"/>
                                        <w:rFonts w:asciiTheme="minorHAnsi" w:eastAsia="Times New Roman" w:hAnsiTheme="minorHAnsi" w:cstheme="minorHAnsi"/>
                                        <w:color w:val="336699"/>
                                        <w:sz w:val="21"/>
                                        <w:szCs w:val="21"/>
                                      </w:rPr>
                                      <w:t>Finance Director letters (FDs) - 2019</w:t>
                                    </w:r>
                                  </w:hyperlink>
                                </w:p>
                                <w:p w14:paraId="66BA82CF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391A64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 Statement of Recommended Practice (SORP) Accounting for Further and Higher Education </w:t>
                                  </w:r>
                                  <w:r>
                                    <w:t>2019 Edition (must be adopted for accounting periods beginning on or after 1 January 2019)</w:t>
                                  </w:r>
                                </w:p>
                                <w:p w14:paraId="55B623FA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8F09C2" w14:textId="77777777" w:rsidR="003A5780" w:rsidRPr="00DA6BA9" w:rsidRDefault="003A5780" w:rsidP="003A5780">
                                  <w:r>
                                    <w:t>The Committee</w:t>
                                  </w:r>
                                  <w:r w:rsidRPr="00DA6BA9">
                                    <w:t xml:space="preserve"> to note the guidance and information</w:t>
                                  </w:r>
                                  <w:r>
                                    <w:t xml:space="preserve"> received</w:t>
                                  </w:r>
                                  <w:r w:rsidRPr="00DA6BA9">
                                    <w:t>.</w:t>
                                  </w:r>
                                </w:p>
                                <w:p w14:paraId="55762C72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93EA8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5BA75EC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3661D0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AC05 19/20</w:t>
                                  </w:r>
                                  <w:r w:rsidRPr="00094EC0"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F7379D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Chair’s Business </w:t>
                                  </w:r>
                                </w:p>
                                <w:p w14:paraId="7C161C3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7459EDB" w14:textId="4828C667" w:rsidR="003A578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D6F90">
                                    <w:t>Review of Audit and Ri</w:t>
                                  </w:r>
                                  <w:r>
                                    <w:t xml:space="preserve">sk Committee Terms of Reference </w:t>
                                  </w:r>
                                  <w:r w:rsidR="00DA3DC7">
                                    <w:t>– version</w:t>
                                  </w:r>
                                  <w:r>
                                    <w:t xml:space="preserve"> dated November 2017 </w:t>
                                  </w:r>
                                  <w:r w:rsidR="00A17247">
                                    <w:t>attached.</w:t>
                                  </w:r>
                                </w:p>
                                <w:p w14:paraId="44EC23FB" w14:textId="77777777" w:rsidR="003A5780" w:rsidRPr="00FD6F9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Audit and Risk Committee Self-Assessment – Audit and Risk Committee Effectiveness November 2017 (National Audit Office)</w:t>
                                  </w:r>
                                </w:p>
                                <w:p w14:paraId="322D27B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9F8B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Chair</w:t>
                                  </w:r>
                                </w:p>
                              </w:tc>
                            </w:tr>
                            <w:tr w:rsidR="003A5780" w14:paraId="43D16361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EEB80A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AC06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BB4A09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Financial Report </w:t>
                                  </w:r>
                                </w:p>
                                <w:p w14:paraId="0B8204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5F05A0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Draft Belfast Metropolitan College </w:t>
                                  </w:r>
                                  <w:r w:rsidRPr="00696BE4">
                                    <w:t>Annual Report and Accounts 2018/19</w:t>
                                  </w:r>
                                </w:p>
                                <w:p w14:paraId="40B9D01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337132F6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accounts and to approve adoption to the Governing Body.</w:t>
                                  </w:r>
                                </w:p>
                                <w:p w14:paraId="18BCE61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D3578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5A6291F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52DE66D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AC07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391B2CF4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Northern Ireland Audit Office Business </w:t>
                                  </w:r>
                                </w:p>
                                <w:p w14:paraId="62985BFD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A0DE07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168E9C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note the information provided by the NI Audit Office.</w:t>
                                  </w:r>
                                </w:p>
                                <w:p w14:paraId="40DC779E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E5AE7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08D56A2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286E4A3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AC08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BFDF9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Internal Audit Business </w:t>
                                  </w:r>
                                </w:p>
                                <w:p w14:paraId="3950541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9B6942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reports presented by Internal Audit.</w:t>
                                  </w:r>
                                </w:p>
                                <w:p w14:paraId="4C5F676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0F9BB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NIAO</w:t>
                                  </w:r>
                                </w:p>
                              </w:tc>
                            </w:tr>
                            <w:tr w:rsidR="003A5780" w14:paraId="789F794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5686F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AC09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8842A3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Status of Outstanding Audit Recommendations as at end Q4 2018/19</w:t>
                                  </w:r>
                                </w:p>
                                <w:p w14:paraId="6154DDD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FCF7B1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</w:t>
                                  </w:r>
                                  <w:r>
                                    <w:t>ommittee to consider and to note the actions taken by management.</w:t>
                                  </w:r>
                                </w:p>
                                <w:p w14:paraId="25B1F01B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5511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ABF75B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8FDD592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AC10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CF6FDE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Risk Management and Opportunity Report </w:t>
                                  </w:r>
                                </w:p>
                                <w:p w14:paraId="0A778C25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7481945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 xml:space="preserve">The </w:t>
                                  </w:r>
                                  <w:r>
                                    <w:t>Committee to consider and to note the actions taken by management.</w:t>
                                  </w:r>
                                </w:p>
                                <w:p w14:paraId="13FE3DE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914C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37C21AF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14536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ARC11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CD1B49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3412DC">
                                    <w:rPr>
                                      <w:b/>
                                    </w:rPr>
                                    <w:t xml:space="preserve">Compliance Reporting </w:t>
                                  </w:r>
                                  <w:r>
                                    <w:rPr>
                                      <w:b/>
                                    </w:rPr>
                                    <w:t>for Q4 2018/19</w:t>
                                  </w:r>
                                </w:p>
                                <w:p w14:paraId="440B15CC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8500B72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Losses and special payments</w:t>
                                  </w:r>
                                </w:p>
                                <w:p w14:paraId="31D41A8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DAC (STA) Notifications</w:t>
                                  </w:r>
                                </w:p>
                                <w:p w14:paraId="310AD901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Gifts and Hospitality</w:t>
                                  </w:r>
                                </w:p>
                                <w:p w14:paraId="0833D00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Whistleblowing Notifications</w:t>
                                  </w:r>
                                </w:p>
                                <w:p w14:paraId="46C0A67C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Data Breaches</w:t>
                                  </w:r>
                                </w:p>
                                <w:p w14:paraId="67BFCC3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0B67A0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04933D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B27D9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  <w:p w14:paraId="1D894FA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B0BAA0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C91CA1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ARC12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700232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>Direct Award Contracts</w:t>
                                  </w:r>
                                  <w:r>
                                    <w:rPr>
                                      <w:b/>
                                    </w:rPr>
                                    <w:t>/Single Tender Actions for Q4 2018/19</w:t>
                                  </w:r>
                                </w:p>
                                <w:p w14:paraId="1F4F1BB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38E814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3A79833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AB273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1ED59BB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69872BA7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ARC13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01A2A6B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 Cyber Security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7E1CC4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C65F8C4" w14:textId="0B910203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The Committee to consider and to note the actions taken by </w:t>
                                  </w:r>
                                  <w:r w:rsidR="00A17247">
                                    <w:t>management.</w:t>
                                  </w:r>
                                </w:p>
                                <w:p w14:paraId="3F052EA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DB8007" w14:textId="77777777" w:rsidR="003A5780" w:rsidRPr="00F32C76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CB71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HoIT</w:t>
                                  </w:r>
                                </w:p>
                              </w:tc>
                            </w:tr>
                            <w:tr w:rsidR="003A5780" w14:paraId="65951E50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4BF5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ARC14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DEC1A2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Metropolitan College GDPR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5B35B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CC72C9A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Committee to consider and to note the actions taken by management.</w:t>
                                  </w:r>
                                </w:p>
                                <w:p w14:paraId="6006FF23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776D0D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6638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CCO</w:t>
                                  </w:r>
                                </w:p>
                              </w:tc>
                            </w:tr>
                            <w:tr w:rsidR="003A5780" w14:paraId="6B930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4B8CF0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ARC15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0EB5C4B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Any Other Business </w:t>
                                  </w:r>
                                </w:p>
                                <w:p w14:paraId="404082C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5E6352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7CF701D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9BA3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ARC16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CF9D02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Date of next meeting </w:t>
                                  </w:r>
                                </w:p>
                                <w:p w14:paraId="46B46CB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2BCB4E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DA6BA9">
                                    <w:t>4.30pm on 11 November 2019 at Titanic Quarter Boardroom</w:t>
                                  </w:r>
                                </w:p>
                                <w:p w14:paraId="6C75C44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0ED500" w14:textId="77777777" w:rsidR="00EA0808" w:rsidRDefault="00EA0808" w:rsidP="003A5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E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0;width:524.25pt;height:716.6pt;z-index:251661824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" filled="f" stroked="f">
                <v:textbox>
                  <w:txbxContent>
                    <w:p w14:paraId="5EDD47C2" w14:textId="77777777" w:rsidR="003A5780" w:rsidRDefault="003A5780" w:rsidP="003A5780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tbl>
                      <w:tblPr>
                        <w:tblStyle w:val="TableGrid"/>
                        <w:tblW w:w="10632" w:type="dxa"/>
                        <w:tblInd w:w="-856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797"/>
                        <w:gridCol w:w="1417"/>
                      </w:tblGrid>
                      <w:tr w:rsidR="003A5780" w:rsidRPr="00696BE4" w14:paraId="0E498751" w14:textId="77777777" w:rsidTr="00860BEA">
                        <w:trPr>
                          <w:tblHeader/>
                        </w:trPr>
                        <w:tc>
                          <w:tcPr>
                            <w:tcW w:w="9215" w:type="dxa"/>
                            <w:gridSpan w:val="2"/>
                            <w:shd w:val="clear" w:color="auto" w:fill="8496B0" w:themeFill="text2" w:themeFillTint="99"/>
                          </w:tcPr>
                          <w:p w14:paraId="6A16B55D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8496B0" w:themeFill="text2" w:themeFillTint="99"/>
                          </w:tcPr>
                          <w:p w14:paraId="0438B377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 xml:space="preserve">Lead </w:t>
                            </w:r>
                          </w:p>
                        </w:tc>
                      </w:tr>
                      <w:tr w:rsidR="003A5780" w14:paraId="12982F95" w14:textId="77777777" w:rsidTr="00860BEA">
                        <w:tc>
                          <w:tcPr>
                            <w:tcW w:w="1418" w:type="dxa"/>
                          </w:tcPr>
                          <w:p w14:paraId="35D8F2E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203554" w:themeColor="accent2" w:themeShade="80"/>
                              </w:rPr>
                            </w:pPr>
                            <w:r w:rsidRPr="00CE0F51">
                              <w:rPr>
                                <w:b/>
                                <w:color w:val="203554" w:themeColor="accent2" w:themeShade="80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>04 19/20</w:t>
                            </w:r>
                          </w:p>
                          <w:p w14:paraId="5EEBAF3B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12AE5B6E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Governance Guidance and Information</w:t>
                            </w:r>
                          </w:p>
                          <w:p w14:paraId="45F63B24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1247A60E" w14:textId="49103E76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>FE 02/</w:t>
                            </w:r>
                            <w:r w:rsidR="00C7686C" w:rsidRPr="00D67E32">
                              <w:t>19 Further</w:t>
                            </w:r>
                            <w:r w:rsidRPr="00D67E32">
                              <w:t xml:space="preserve"> Education (FE) College Accounts Direction issued 31 July 2019 </w:t>
                            </w:r>
                          </w:p>
                          <w:p w14:paraId="61BA0F9F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9F62AD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</w:pPr>
                            <w:r w:rsidRPr="00D67E32"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  <w:t>Publications from Accountability &amp; Financial Management Division</w:t>
                            </w:r>
                          </w:p>
                          <w:p w14:paraId="33D753E7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hyperlink w:anchor="mctoc1" w:history="1">
                              <w:r w:rsidRPr="009D7A12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336699"/>
                                  <w:sz w:val="21"/>
                                  <w:szCs w:val="21"/>
                                </w:rPr>
                                <w:t>Finance Director letters (FDs) - 2019</w:t>
                              </w:r>
                            </w:hyperlink>
                          </w:p>
                          <w:p w14:paraId="66BA82CF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</w:p>
                          <w:p w14:paraId="1C391A64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 Statement of Recommended Practice (SORP) Accounting for Further and Higher Education </w:t>
                            </w:r>
                            <w:r>
                              <w:t>2019 Edition (must be adopted for accounting periods beginning on or after 1 January 2019)</w:t>
                            </w:r>
                          </w:p>
                          <w:p w14:paraId="55B623FA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478F09C2" w14:textId="77777777" w:rsidR="003A5780" w:rsidRPr="00DA6BA9" w:rsidRDefault="003A5780" w:rsidP="003A5780">
                            <w:r>
                              <w:t>The Committee</w:t>
                            </w:r>
                            <w:r w:rsidRPr="00DA6BA9">
                              <w:t xml:space="preserve"> to note the guidance and information</w:t>
                            </w:r>
                            <w:r>
                              <w:t xml:space="preserve"> received</w:t>
                            </w:r>
                            <w:r w:rsidRPr="00DA6BA9">
                              <w:t>.</w:t>
                            </w:r>
                          </w:p>
                          <w:p w14:paraId="55762C72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93EA8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5BA75EC5" w14:textId="77777777" w:rsidTr="00860BEA">
                        <w:tc>
                          <w:tcPr>
                            <w:tcW w:w="1418" w:type="dxa"/>
                          </w:tcPr>
                          <w:p w14:paraId="73661D0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AC05 19/20</w:t>
                            </w:r>
                            <w:r w:rsidRPr="00094EC0">
                              <w:rPr>
                                <w:b/>
                                <w:color w:val="30507E" w:themeColor="accent2" w:themeShade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F7379D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Chair’s Business </w:t>
                            </w:r>
                          </w:p>
                          <w:p w14:paraId="7C161C3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7459EDB" w14:textId="4828C667" w:rsidR="003A578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D6F90">
                              <w:t>Review of Audit and Ri</w:t>
                            </w:r>
                            <w:r>
                              <w:t xml:space="preserve">sk Committee Terms of Reference </w:t>
                            </w:r>
                            <w:r w:rsidR="00DA3DC7">
                              <w:t>– version</w:t>
                            </w:r>
                            <w:r>
                              <w:t xml:space="preserve"> dated November 2017 </w:t>
                            </w:r>
                            <w:r w:rsidR="00A17247">
                              <w:t>attached.</w:t>
                            </w:r>
                          </w:p>
                          <w:p w14:paraId="44EC23FB" w14:textId="77777777" w:rsidR="003A5780" w:rsidRPr="00FD6F9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and Risk Committee Self-Assessment – Audit and Risk Committee Effectiveness November 2017 (National Audit Office)</w:t>
                            </w:r>
                          </w:p>
                          <w:p w14:paraId="322D27B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59F8B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Chair</w:t>
                            </w:r>
                          </w:p>
                        </w:tc>
                      </w:tr>
                      <w:tr w:rsidR="003A5780" w14:paraId="43D16361" w14:textId="77777777" w:rsidTr="00860BEA">
                        <w:tc>
                          <w:tcPr>
                            <w:tcW w:w="1418" w:type="dxa"/>
                          </w:tcPr>
                          <w:p w14:paraId="3EEB80A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AC06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BB4A09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Financial Report </w:t>
                            </w:r>
                          </w:p>
                          <w:p w14:paraId="0B8204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5F05A0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Draft Belfast Metropolitan College </w:t>
                            </w:r>
                            <w:r w:rsidRPr="00696BE4">
                              <w:t>Annual Report and Accounts 2018/19</w:t>
                            </w:r>
                          </w:p>
                          <w:p w14:paraId="40B9D01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337132F6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accounts and to approve adoption to the Governing Body.</w:t>
                            </w:r>
                          </w:p>
                          <w:p w14:paraId="18BCE61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D3578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5A6291F9" w14:textId="77777777" w:rsidTr="00860BEA">
                        <w:tc>
                          <w:tcPr>
                            <w:tcW w:w="1418" w:type="dxa"/>
                          </w:tcPr>
                          <w:p w14:paraId="52DE66D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AC07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391B2CF4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Northern Ireland Audit Office Business </w:t>
                            </w:r>
                          </w:p>
                          <w:p w14:paraId="62985BFD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A0DE07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168E9C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note the information provided by the NI Audit Office.</w:t>
                            </w:r>
                          </w:p>
                          <w:p w14:paraId="40DC779E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E5AE7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08D56A2A" w14:textId="77777777" w:rsidTr="00860BEA">
                        <w:tc>
                          <w:tcPr>
                            <w:tcW w:w="1418" w:type="dxa"/>
                          </w:tcPr>
                          <w:p w14:paraId="1286E4A3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AC08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BFDF9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Internal Audit Business </w:t>
                            </w:r>
                          </w:p>
                          <w:p w14:paraId="3950541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9B6942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reports presented by Internal Audit.</w:t>
                            </w:r>
                          </w:p>
                          <w:p w14:paraId="4C5F676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0F9BB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NIAO</w:t>
                            </w:r>
                          </w:p>
                        </w:tc>
                      </w:tr>
                      <w:tr w:rsidR="003A5780" w14:paraId="789F794F" w14:textId="77777777" w:rsidTr="00860BEA">
                        <w:tc>
                          <w:tcPr>
                            <w:tcW w:w="1418" w:type="dxa"/>
                          </w:tcPr>
                          <w:p w14:paraId="7E5686F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AC09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8842A3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 of Outstanding Audit Recommendations as at end Q4 2018/19</w:t>
                            </w:r>
                          </w:p>
                          <w:p w14:paraId="6154DDD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FCF7B1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</w:t>
                            </w:r>
                            <w:r>
                              <w:t>ommittee to consider and to note the actions taken by management.</w:t>
                            </w:r>
                          </w:p>
                          <w:p w14:paraId="25B1F01B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5511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ABF75BA" w14:textId="77777777" w:rsidTr="00860BEA">
                        <w:tc>
                          <w:tcPr>
                            <w:tcW w:w="1418" w:type="dxa"/>
                          </w:tcPr>
                          <w:p w14:paraId="18FDD592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AC10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CF6FDE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 Management and Opportunity Report </w:t>
                            </w:r>
                          </w:p>
                          <w:p w14:paraId="0A778C25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27481945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 xml:space="preserve">The </w:t>
                            </w:r>
                            <w:r>
                              <w:t>Committee to consider and to note the actions taken by management.</w:t>
                            </w:r>
                          </w:p>
                          <w:p w14:paraId="13FE3DE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914C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37C21AFA" w14:textId="77777777" w:rsidTr="00860BEA">
                        <w:tc>
                          <w:tcPr>
                            <w:tcW w:w="1418" w:type="dxa"/>
                          </w:tcPr>
                          <w:p w14:paraId="7E14536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ARC11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CD1B49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3412DC">
                              <w:rPr>
                                <w:b/>
                              </w:rPr>
                              <w:t xml:space="preserve">Compliance Reporting </w:t>
                            </w:r>
                            <w:r>
                              <w:rPr>
                                <w:b/>
                              </w:rPr>
                              <w:t>for Q4 2018/19</w:t>
                            </w:r>
                          </w:p>
                          <w:p w14:paraId="440B15CC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8500B72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Losses and special payments</w:t>
                            </w:r>
                          </w:p>
                          <w:p w14:paraId="31D41A8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DAC (STA) Notifications</w:t>
                            </w:r>
                          </w:p>
                          <w:p w14:paraId="310AD901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Gifts and Hospitality</w:t>
                            </w:r>
                          </w:p>
                          <w:p w14:paraId="0833D00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Whistleblowing Notifications</w:t>
                            </w:r>
                          </w:p>
                          <w:p w14:paraId="46C0A67C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Data Breaches</w:t>
                            </w:r>
                          </w:p>
                          <w:p w14:paraId="67BFCC3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0B67A0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04933D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B27D9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  <w:p w14:paraId="1D894FA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B0BAA0A" w14:textId="77777777" w:rsidTr="00860BEA">
                        <w:tc>
                          <w:tcPr>
                            <w:tcW w:w="1418" w:type="dxa"/>
                          </w:tcPr>
                          <w:p w14:paraId="2C91CA1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ARC12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700232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>Direct Award Contracts</w:t>
                            </w:r>
                            <w:r>
                              <w:rPr>
                                <w:b/>
                              </w:rPr>
                              <w:t>/Single Tender Actions for Q4 2018/19</w:t>
                            </w:r>
                          </w:p>
                          <w:p w14:paraId="1F4F1BB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38E814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3A79833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AB273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1ED59BBF" w14:textId="77777777" w:rsidTr="00860BEA">
                        <w:tc>
                          <w:tcPr>
                            <w:tcW w:w="1418" w:type="dxa"/>
                          </w:tcPr>
                          <w:p w14:paraId="69872BA7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ARC13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01A2A6B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 Cyber Security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7E1CC4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C65F8C4" w14:textId="0B910203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The Committee to consider and to note the actions taken by </w:t>
                            </w:r>
                            <w:r w:rsidR="00A17247">
                              <w:t>management.</w:t>
                            </w:r>
                          </w:p>
                          <w:p w14:paraId="3F052EA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DB8007" w14:textId="77777777" w:rsidR="003A5780" w:rsidRPr="00F32C76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CB71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HoIT</w:t>
                            </w:r>
                          </w:p>
                        </w:tc>
                      </w:tr>
                      <w:tr w:rsidR="003A5780" w14:paraId="65951E50" w14:textId="77777777" w:rsidTr="00860BEA">
                        <w:tc>
                          <w:tcPr>
                            <w:tcW w:w="1418" w:type="dxa"/>
                          </w:tcPr>
                          <w:p w14:paraId="03C4BF5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ARC14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DEC1A2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Metropolitan College GDPR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5B35B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5CC72C9A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Committee to consider and to note the actions taken by management.</w:t>
                            </w:r>
                          </w:p>
                          <w:p w14:paraId="6006FF23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776D0D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36638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CCO</w:t>
                            </w:r>
                          </w:p>
                        </w:tc>
                      </w:tr>
                      <w:tr w:rsidR="003A5780" w14:paraId="6B930F95" w14:textId="77777777" w:rsidTr="00860BEA">
                        <w:tc>
                          <w:tcPr>
                            <w:tcW w:w="1418" w:type="dxa"/>
                          </w:tcPr>
                          <w:p w14:paraId="24B8CF0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ARC15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0EB5C4B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Any Other Business </w:t>
                            </w:r>
                          </w:p>
                          <w:p w14:paraId="404082C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5E6352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7CF701D9" w14:textId="77777777" w:rsidTr="00860BEA">
                        <w:tc>
                          <w:tcPr>
                            <w:tcW w:w="1418" w:type="dxa"/>
                          </w:tcPr>
                          <w:p w14:paraId="03C9BA3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ARC16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CF9D02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Date of next meeting </w:t>
                            </w:r>
                          </w:p>
                          <w:p w14:paraId="46B46CB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2BCB4E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DA6BA9">
                              <w:t>4.30pm on 11 November 2019 at Titanic Quarter Boardroom</w:t>
                            </w:r>
                          </w:p>
                          <w:p w14:paraId="6C75C44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</w:tbl>
                    <w:p w14:paraId="2B0ED500" w14:textId="77777777" w:rsidR="00EA0808" w:rsidRDefault="00EA0808" w:rsidP="003A578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B769E4" w14:textId="483E4674" w:rsidR="00631963" w:rsidRDefault="00631963"/>
    <w:p w14:paraId="02D44688" w14:textId="74AEC3F4" w:rsidR="00CB38C8" w:rsidRDefault="00773553" w:rsidP="00CB38C8">
      <w:pPr>
        <w:tabs>
          <w:tab w:val="right" w:pos="9026"/>
        </w:tabs>
      </w:pPr>
      <w:bookmarkStart w:id="0" w:name="_Hlk107916413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6691B6" wp14:editId="6865B662">
                <wp:simplePos x="0" y="0"/>
                <wp:positionH relativeFrom="page">
                  <wp:posOffset>552450</wp:posOffset>
                </wp:positionH>
                <wp:positionV relativeFrom="paragraph">
                  <wp:posOffset>409575</wp:posOffset>
                </wp:positionV>
                <wp:extent cx="6667500" cy="7743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  <w:gridCol w:w="9330"/>
                            </w:tblGrid>
                            <w:tr w:rsidR="00F2100D" w14:paraId="5B032195" w14:textId="7D2A98C6" w:rsidTr="00366B22">
                              <w:trPr>
                                <w:trHeight w:val="55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36B4E5" w:themeFill="accent1"/>
                                </w:tcPr>
                                <w:p w14:paraId="66217C42" w14:textId="77777777" w:rsidR="00832E0E" w:rsidRPr="00832E0E" w:rsidRDefault="000160C2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Belfast Metropolitan College Resources Committee </w:t>
                                  </w:r>
                                </w:p>
                                <w:p w14:paraId="4335BBDA" w14:textId="77777777" w:rsidR="00832E0E" w:rsidRPr="00832E0E" w:rsidRDefault="00832E0E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8BDAD7" w14:textId="2597A68D" w:rsidR="00832E0E" w:rsidRPr="00832E0E" w:rsidRDefault="000160C2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C72B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pm </w:t>
                                  </w:r>
                                  <w:r w:rsidR="00C72B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 November</w:t>
                                  </w: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202</w:t>
                                  </w:r>
                                  <w:r w:rsidR="00C72B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in the Board room, </w:t>
                                  </w:r>
                                  <w:r w:rsidR="00E5684D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Titanic Quarter </w:t>
                                  </w:r>
                                  <w:r w:rsidR="008D78DA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Campus </w:t>
                                  </w: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and via Microsoft Teams </w:t>
                                  </w:r>
                                </w:p>
                                <w:p w14:paraId="2E1E74DD" w14:textId="77777777" w:rsidR="00832E0E" w:rsidRPr="00832E0E" w:rsidRDefault="00832E0E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894C03" w14:textId="2C7C0B08" w:rsidR="000160C2" w:rsidRPr="00832E0E" w:rsidRDefault="00366B22" w:rsidP="003A5780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Minutes</w:t>
                                  </w:r>
                                  <w:r w:rsidR="000160C2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32E0E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230E3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Draft </w:t>
                                  </w:r>
                                  <w:r w:rsidR="00230E37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 Nov 2024</w:t>
                                  </w:r>
                                  <w:r w:rsidR="00832E0E" w:rsidRPr="00832E0E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633D392" w14:textId="545CA7C7" w:rsidR="00832E0E" w:rsidRPr="00CE0F51" w:rsidRDefault="00832E0E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2100D" w14:paraId="27E2E82F" w14:textId="031CD763" w:rsidTr="00366B22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uto"/>
                                </w:tcPr>
                                <w:p w14:paraId="56FBE5E4" w14:textId="326F15AD" w:rsidR="000160C2" w:rsidRPr="00273306" w:rsidRDefault="000160C2" w:rsidP="004B12C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Pr="00684026">
                                    <w:t>Seamus Dawson (Chair);</w:t>
                                  </w:r>
                                  <w:r>
                                    <w:t xml:space="preserve"> Yvonne Murphy; Lauren McAteer; Michael McKernan; Tom Hesketh;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Janis Lead</w:t>
                                  </w:r>
                                  <w:r w:rsidR="00410BD0">
                                    <w:rPr>
                                      <w:rFonts w:asciiTheme="minorHAnsi" w:hAnsiTheme="minorHAnsi" w:cstheme="minorHAnsi"/>
                                    </w:rPr>
                                    <w:t>en</w:t>
                                  </w:r>
                                  <w:r w:rsidR="00E40DBE">
                                    <w:t>; Damian Duffy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, </w:t>
                                  </w:r>
                                  <w:r w:rsidR="00E40DB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Interim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Principal &amp; Chief Executive</w:t>
                                  </w:r>
                                  <w:r w:rsidR="00C23878">
                                    <w:rPr>
                                      <w:rFonts w:asciiTheme="minorHAnsi" w:hAnsiTheme="minorHAnsi" w:cstheme="minorHAnsi"/>
                                    </w:rPr>
                                    <w:t>.</w:t>
                                  </w:r>
                                </w:p>
                                <w:p w14:paraId="18AF3273" w14:textId="77777777" w:rsidR="000160C2" w:rsidRDefault="000160C2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42F185B" w14:textId="7045109B" w:rsidR="000160C2" w:rsidRPr="00805171" w:rsidRDefault="000160C2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e, Chief Operating Officer (COO); </w:t>
                                  </w:r>
                                  <w:r w:rsidR="00E40DBE">
                                    <w:rPr>
                                      <w:bCs/>
                                    </w:rPr>
                                    <w:t>Siobhan Lyons, Interim Director of Development and Partnerships (</w:t>
                                  </w:r>
                                  <w:r w:rsidR="00D9358E">
                                    <w:rPr>
                                      <w:bCs/>
                                    </w:rPr>
                                    <w:t>IDDP</w:t>
                                  </w:r>
                                  <w:r w:rsidR="00A17247">
                                    <w:rPr>
                                      <w:bCs/>
                                    </w:rPr>
                                    <w:t>); Laura</w:t>
                                  </w:r>
                                  <w:r w:rsidRPr="00665BFB">
                                    <w:t xml:space="preserve"> Allen, Head of Finance (HF);</w:t>
                                  </w:r>
                                  <w:r>
                                    <w:t xml:space="preserve"> </w:t>
                                  </w:r>
                                  <w:r w:rsidR="00E70A7C">
                                    <w:t xml:space="preserve">Peter Kane, </w:t>
                                  </w:r>
                                  <w:r>
                                    <w:t>Head of Estate and Facilities Management (HEFM)</w:t>
                                  </w:r>
                                  <w:r w:rsidR="00D80C42">
                                    <w:t>.</w:t>
                                  </w:r>
                                </w:p>
                                <w:p w14:paraId="6DC625D6" w14:textId="77777777" w:rsidR="000160C2" w:rsidRDefault="000160C2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5A66738" w14:textId="18807D97" w:rsidR="000160C2" w:rsidRPr="00304F6B" w:rsidRDefault="00304F6B" w:rsidP="004B12C7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Secretary</w:t>
                                  </w:r>
                                  <w:r w:rsidR="000160C2" w:rsidRPr="00CE0F51">
                                    <w:rPr>
                                      <w:b/>
                                    </w:rPr>
                                    <w:t xml:space="preserve"> to the Governing Body: </w:t>
                                  </w:r>
                                  <w:r w:rsidRPr="003C7C63">
                                    <w:rPr>
                                      <w:bCs/>
                                    </w:rPr>
                                    <w:t>Jim Woods</w:t>
                                  </w:r>
                                </w:p>
                                <w:p w14:paraId="047FB00F" w14:textId="77777777" w:rsidR="000160C2" w:rsidRPr="00CE0F51" w:rsidRDefault="000160C2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6B22" w14:paraId="6A96806E" w14:textId="7CED658E" w:rsidTr="00366B22">
                              <w:trPr>
                                <w:trHeight w:val="495"/>
                              </w:trPr>
                              <w:tc>
                                <w:tcPr>
                                  <w:tcW w:w="414" w:type="pct"/>
                                  <w:vMerge w:val="restart"/>
                                </w:tcPr>
                                <w:p w14:paraId="46F22CFD" w14:textId="78962168" w:rsidR="00366B22" w:rsidRPr="00DA2BE3" w:rsidRDefault="00366B22" w:rsidP="00773553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RC14 24/25</w:t>
                                  </w:r>
                                  <w:r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86" w:type="pct"/>
                                  <w:vMerge w:val="restart"/>
                                </w:tcPr>
                                <w:p w14:paraId="53B4BE8D" w14:textId="082EEBA0" w:rsidR="00366B22" w:rsidRPr="00CE0F51" w:rsidRDefault="00366B22" w:rsidP="00773553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and Leadership Culture</w:t>
                                  </w:r>
                                </w:p>
                                <w:p w14:paraId="57FEFC7D" w14:textId="6089293E" w:rsidR="00366B22" w:rsidRPr="00CE0F51" w:rsidRDefault="00366B22" w:rsidP="00773553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4A97BDD9" w:rsidR="00366B22" w:rsidRPr="00B1399F" w:rsidRDefault="00366B22" w:rsidP="00773553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:  The meeting must be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Section 6.2 of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Terms of </w:t>
                                  </w:r>
                                  <w:r w:rsidRPr="00801D41">
                                    <w:rPr>
                                      <w:rFonts w:cs="Arial"/>
                                    </w:rPr>
                                    <w:t xml:space="preserve">Reference </w:t>
                                  </w:r>
                                  <w:r w:rsidRPr="00801D41">
                                    <w:t>V3</w:t>
                                  </w:r>
                                  <w:r w:rsidRPr="00801D41">
                                    <w:rPr>
                                      <w:rFonts w:cs="Arial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the Resources Committee approved by the Governing Body at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GB81a 21/22 22 June 2022 </w:t>
                                  </w:r>
                                  <w:r>
                                    <w:rPr>
                                      <w:bCs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366B22" w:rsidRDefault="00366B22" w:rsidP="00773553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1A6F86B" w14:textId="77777777" w:rsidR="00E3307D" w:rsidRDefault="00366B22" w:rsidP="00773553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 </w:t>
                                  </w:r>
                                  <w:r w:rsidR="00D86B11">
                                    <w:t>Michael Mearns,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6C293C5F" w14:textId="4F2BF96E" w:rsidR="00366B22" w:rsidRPr="00833687" w:rsidRDefault="00E3307D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                    Normally </w:t>
                                  </w:r>
                                  <w:r w:rsidR="00D80C42">
                                    <w:rPr>
                                      <w:rFonts w:cs="Arial"/>
                                      <w:bCs/>
                                    </w:rPr>
                                    <w:t>i</w:t>
                                  </w:r>
                                  <w:r w:rsidR="00F21CD7">
                                    <w:rPr>
                                      <w:rFonts w:cs="Arial"/>
                                      <w:bCs/>
                                    </w:rPr>
                                    <w:t xml:space="preserve">n attendance </w:t>
                                  </w:r>
                                  <w:r w:rsidR="00D86B11">
                                    <w:t>Kristian Kinnaird</w:t>
                                  </w:r>
                                  <w:r w:rsidR="00F21CD7">
                                    <w:t>,</w:t>
                                  </w:r>
                                  <w:r w:rsidR="00D86B11">
                                    <w:t xml:space="preserve"> Head of IT </w:t>
                                  </w:r>
                                </w:p>
                                <w:p w14:paraId="61EB1EF4" w14:textId="140F653D" w:rsidR="00366B22" w:rsidRDefault="00366B22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279E5CA" w14:textId="3C560C81" w:rsidR="00366B22" w:rsidRPr="00833687" w:rsidRDefault="00366B22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  <w:r w:rsidR="00D86B11">
                                    <w:rPr>
                                      <w:rFonts w:cs="Arial"/>
                                    </w:rPr>
                                    <w:t xml:space="preserve">Jim Woods Secretary to the Governing Body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  <w:p w14:paraId="4FD873A0" w14:textId="6765A85D" w:rsidR="00366B22" w:rsidRDefault="00366B22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3251AA84" w:rsidR="00366B22" w:rsidRPr="00B1399F" w:rsidRDefault="00366B22" w:rsidP="00773553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Participants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report</w:t>
                                  </w:r>
                                  <w:r w:rsidR="008F1A1D">
                                    <w:rPr>
                                      <w:rFonts w:cs="Calibri"/>
                                    </w:rPr>
                                    <w:t>ed no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80C42">
                                    <w:rPr>
                                      <w:rFonts w:cs="Calibri"/>
                                      <w:bCs/>
                                    </w:rPr>
                                    <w:t xml:space="preserve">perceived, </w:t>
                                  </w:r>
                                  <w:r w:rsidR="00A17247" w:rsidRPr="00D80C42">
                                    <w:rPr>
                                      <w:rFonts w:cs="Calibri"/>
                                      <w:bCs/>
                                    </w:rPr>
                                    <w:t>potential,</w:t>
                                  </w:r>
                                  <w:r w:rsidRPr="00D80C42">
                                    <w:rPr>
                                      <w:rFonts w:cs="Calibri"/>
                                      <w:bCs/>
                                    </w:rPr>
                                    <w:t xml:space="preserve">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conflicts of interest under the terms of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Pr="00801D41">
                                    <w:rPr>
                                      <w:rFonts w:cs="Calibri"/>
                                    </w:rPr>
                                    <w:t xml:space="preserve">V5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approved by the Governing Body at </w:t>
                                  </w:r>
                                  <w:r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DF55962" w14:textId="77777777" w:rsidR="00366B22" w:rsidRPr="00CE0F51" w:rsidRDefault="00366B22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4706CDC2" w:rsidR="00366B22" w:rsidRPr="00CE0F51" w:rsidRDefault="00366B22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 received at date of issue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58437B90" w14:textId="77777777" w:rsidR="00366B22" w:rsidRDefault="00366B22" w:rsidP="007735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A8A207" w14:textId="77777777" w:rsidR="00366B22" w:rsidRDefault="00366B22" w:rsidP="00773553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36297E">
                                    <w:rPr>
                                      <w:b/>
                                      <w:bCs/>
                                    </w:rPr>
                                    <w:t>to note</w:t>
                                  </w:r>
                                  <w:r>
                                    <w:t xml:space="preserve"> our commitment to Governing Body Leadership Culture Watchwords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00C99FAE" w14:textId="77777777" w:rsidR="00366B22" w:rsidRDefault="00366B22" w:rsidP="00801D41">
                                  <w:pPr>
                                    <w:contextualSpacing/>
                                    <w:jc w:val="center"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Courageous / Creative / Candour / Challenge</w:t>
                                  </w:r>
                                </w:p>
                                <w:p w14:paraId="6EBD2DE4" w14:textId="075D83B1" w:rsidR="00366B22" w:rsidRPr="00CE0F51" w:rsidRDefault="00366B22" w:rsidP="00801D41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6B22" w14:paraId="7EA2BEB9" w14:textId="77777777" w:rsidTr="00366B22">
                              <w:trPr>
                                <w:trHeight w:val="4860"/>
                              </w:trPr>
                              <w:tc>
                                <w:tcPr>
                                  <w:tcW w:w="414" w:type="pct"/>
                                  <w:vMerge/>
                                </w:tcPr>
                                <w:p w14:paraId="558FDE4C" w14:textId="77777777" w:rsidR="00366B22" w:rsidRDefault="00366B22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pct"/>
                                  <w:vMerge/>
                                </w:tcPr>
                                <w:p w14:paraId="0B4FE7F3" w14:textId="77777777" w:rsidR="00366B22" w:rsidRDefault="00366B2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91B6" id="_x0000_s1027" type="#_x0000_t202" style="position:absolute;margin-left:43.5pt;margin-top:32.25pt;width:525pt;height:60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R8DwIAAP4DAAAOAAAAZHJzL2Uyb0RvYy54bWysU9uO2yAQfa/Uf0C8N3bS3NaKs9pmm6rS&#10;9iJt+wEY4xgVGAokdvr1O2BvNm3fqvKAGIY5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85" w:type="pct"/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  <w:gridCol w:w="9330"/>
                      </w:tblGrid>
                      <w:tr w:rsidR="00F2100D" w14:paraId="5B032195" w14:textId="7D2A98C6" w:rsidTr="00366B22">
                        <w:trPr>
                          <w:trHeight w:val="558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36B4E5" w:themeFill="accent1"/>
                          </w:tcPr>
                          <w:p w14:paraId="66217C42" w14:textId="77777777" w:rsidR="00832E0E" w:rsidRPr="00832E0E" w:rsidRDefault="000160C2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Belfast Metropolitan College Resources Committee </w:t>
                            </w:r>
                          </w:p>
                          <w:p w14:paraId="4335BBDA" w14:textId="77777777" w:rsidR="00832E0E" w:rsidRPr="00832E0E" w:rsidRDefault="00832E0E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8BDAD7" w14:textId="2597A68D" w:rsidR="00832E0E" w:rsidRPr="00832E0E" w:rsidRDefault="000160C2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C72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C72B59">
                              <w:rPr>
                                <w:b/>
                                <w:sz w:val="24"/>
                                <w:szCs w:val="24"/>
                              </w:rPr>
                              <w:t>5 November</w:t>
                            </w: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72B59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the Board room, </w:t>
                            </w:r>
                            <w:r w:rsidR="00E5684D"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Titanic Quarter </w:t>
                            </w:r>
                            <w:r w:rsidR="008D78DA"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Campus </w:t>
                            </w: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via Microsoft Teams </w:t>
                            </w:r>
                          </w:p>
                          <w:p w14:paraId="2E1E74DD" w14:textId="77777777" w:rsidR="00832E0E" w:rsidRPr="00832E0E" w:rsidRDefault="00832E0E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894C03" w14:textId="2C7C0B08" w:rsidR="000160C2" w:rsidRPr="00832E0E" w:rsidRDefault="00366B22" w:rsidP="003A5780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  <w:r w:rsidR="000160C2"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E0E" w:rsidRPr="00832E0E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230E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Draft </w:t>
                            </w:r>
                            <w:r w:rsidR="00230E3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 Nov 2024</w:t>
                            </w:r>
                            <w:r w:rsidR="00832E0E" w:rsidRPr="00832E0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33D392" w14:textId="545CA7C7" w:rsidR="00832E0E" w:rsidRPr="00CE0F51" w:rsidRDefault="00832E0E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2100D" w14:paraId="27E2E82F" w14:textId="031CD763" w:rsidTr="00366B22">
                        <w:tc>
                          <w:tcPr>
                            <w:tcW w:w="5000" w:type="pct"/>
                            <w:gridSpan w:val="2"/>
                            <w:shd w:val="clear" w:color="auto" w:fill="auto"/>
                          </w:tcPr>
                          <w:p w14:paraId="56FBE5E4" w14:textId="326F15AD" w:rsidR="000160C2" w:rsidRPr="00273306" w:rsidRDefault="000160C2" w:rsidP="004B12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Committee Members:  </w:t>
                            </w:r>
                            <w:r w:rsidRPr="00684026">
                              <w:t>Seamus Dawson (Chair);</w:t>
                            </w:r>
                            <w:r>
                              <w:t xml:space="preserve"> Yvonne Murphy; Lauren McAteer; Michael McKernan; Tom Hesketh;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Janis Lead</w:t>
                            </w:r>
                            <w:r w:rsidR="00410BD0">
                              <w:rPr>
                                <w:rFonts w:asciiTheme="minorHAnsi" w:hAnsiTheme="minorHAnsi" w:cstheme="minorHAnsi"/>
                              </w:rPr>
                              <w:t>en</w:t>
                            </w:r>
                            <w:r w:rsidR="00E40DBE">
                              <w:t>; Damian Duffy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E40DBE">
                              <w:rPr>
                                <w:rFonts w:asciiTheme="minorHAnsi" w:hAnsiTheme="minorHAnsi" w:cstheme="minorHAnsi"/>
                              </w:rPr>
                              <w:t xml:space="preserve">Interim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Principal &amp; Chief Executive</w:t>
                            </w:r>
                            <w:r w:rsidR="00C23878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8AF3273" w14:textId="77777777" w:rsidR="000160C2" w:rsidRDefault="000160C2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42F185B" w14:textId="7045109B" w:rsidR="000160C2" w:rsidRPr="00805171" w:rsidRDefault="000160C2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568C0">
                              <w:rPr>
                                <w:bCs/>
                              </w:rPr>
                              <w:t>Aidan Sloan</w:t>
                            </w:r>
                            <w:r>
                              <w:rPr>
                                <w:bCs/>
                              </w:rPr>
                              <w:t xml:space="preserve">e, Chief Operating Officer (COO); </w:t>
                            </w:r>
                            <w:r w:rsidR="00E40DBE">
                              <w:rPr>
                                <w:bCs/>
                              </w:rPr>
                              <w:t>Siobhan Lyons, Interim Director of Development and Partnerships (</w:t>
                            </w:r>
                            <w:r w:rsidR="00D9358E">
                              <w:rPr>
                                <w:bCs/>
                              </w:rPr>
                              <w:t>IDDP</w:t>
                            </w:r>
                            <w:r w:rsidR="00A17247">
                              <w:rPr>
                                <w:bCs/>
                              </w:rPr>
                              <w:t>); Laura</w:t>
                            </w:r>
                            <w:r w:rsidRPr="00665BFB">
                              <w:t xml:space="preserve"> Allen, Head of Finance (HF);</w:t>
                            </w:r>
                            <w:r>
                              <w:t xml:space="preserve"> </w:t>
                            </w:r>
                            <w:r w:rsidR="00E70A7C">
                              <w:t xml:space="preserve">Peter Kane, </w:t>
                            </w:r>
                            <w:r>
                              <w:t>Head of Estate and Facilities Management (HEFM)</w:t>
                            </w:r>
                            <w:r w:rsidR="00D80C42">
                              <w:t>.</w:t>
                            </w:r>
                          </w:p>
                          <w:p w14:paraId="6DC625D6" w14:textId="77777777" w:rsidR="000160C2" w:rsidRDefault="000160C2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65A66738" w14:textId="18807D97" w:rsidR="000160C2" w:rsidRPr="00304F6B" w:rsidRDefault="00304F6B" w:rsidP="004B12C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Secretary</w:t>
                            </w:r>
                            <w:r w:rsidR="000160C2" w:rsidRPr="00CE0F51">
                              <w:rPr>
                                <w:b/>
                              </w:rPr>
                              <w:t xml:space="preserve"> to the Governing Body: </w:t>
                            </w:r>
                            <w:r w:rsidRPr="003C7C63">
                              <w:rPr>
                                <w:bCs/>
                              </w:rPr>
                              <w:t>Jim Woods</w:t>
                            </w:r>
                          </w:p>
                          <w:p w14:paraId="047FB00F" w14:textId="77777777" w:rsidR="000160C2" w:rsidRPr="00CE0F51" w:rsidRDefault="000160C2" w:rsidP="004B12C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6B22" w14:paraId="6A96806E" w14:textId="7CED658E" w:rsidTr="00366B22">
                        <w:trPr>
                          <w:trHeight w:val="495"/>
                        </w:trPr>
                        <w:tc>
                          <w:tcPr>
                            <w:tcW w:w="414" w:type="pct"/>
                            <w:vMerge w:val="restart"/>
                          </w:tcPr>
                          <w:p w14:paraId="46F22CFD" w14:textId="78962168" w:rsidR="00366B22" w:rsidRPr="00DA2BE3" w:rsidRDefault="00366B22" w:rsidP="00773553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RC14 24/25</w:t>
                            </w:r>
                            <w:r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86" w:type="pct"/>
                            <w:vMerge w:val="restart"/>
                          </w:tcPr>
                          <w:p w14:paraId="53B4BE8D" w14:textId="082EEBA0" w:rsidR="00366B22" w:rsidRPr="00CE0F51" w:rsidRDefault="00366B22" w:rsidP="00773553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and Leadership Culture</w:t>
                            </w:r>
                          </w:p>
                          <w:p w14:paraId="57FEFC7D" w14:textId="6089293E" w:rsidR="00366B22" w:rsidRPr="00CE0F51" w:rsidRDefault="00366B22" w:rsidP="00773553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4A97BDD9" w:rsidR="00366B22" w:rsidRPr="00B1399F" w:rsidRDefault="00366B22" w:rsidP="00773553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:  The meeting must be quorate under the terms of </w:t>
                            </w:r>
                            <w:r>
                              <w:rPr>
                                <w:rFonts w:cs="Arial"/>
                              </w:rPr>
                              <w:t>Section 6.2 of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Terms of </w:t>
                            </w:r>
                            <w:r w:rsidRPr="00801D41">
                              <w:rPr>
                                <w:rFonts w:cs="Arial"/>
                              </w:rPr>
                              <w:t xml:space="preserve">Reference </w:t>
                            </w:r>
                            <w:r w:rsidRPr="00801D41">
                              <w:t>V3</w:t>
                            </w:r>
                            <w:r w:rsidRPr="00801D41">
                              <w:rPr>
                                <w:rFonts w:cs="Arial"/>
                              </w:rPr>
                              <w:t xml:space="preserve"> of </w:t>
                            </w:r>
                            <w:r>
                              <w:rPr>
                                <w:rFonts w:cs="Arial"/>
                              </w:rPr>
                              <w:t xml:space="preserve">the Resources Committee approved by the Governing Body at </w:t>
                            </w:r>
                            <w:r>
                              <w:rPr>
                                <w:b/>
                              </w:rPr>
                              <w:t xml:space="preserve">GB81a 21/22 22 June 2022 </w:t>
                            </w: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rFonts w:cs="Arial"/>
                              </w:rPr>
                              <w:t xml:space="preserve">2 </w:t>
                            </w:r>
                            <w:r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366B22" w:rsidRDefault="00366B22" w:rsidP="00773553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1A6F86B" w14:textId="77777777" w:rsidR="00E3307D" w:rsidRDefault="00366B22" w:rsidP="00773553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="00D86B11">
                              <w:t>Michael Mearns,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</w:p>
                          <w:p w14:paraId="6C293C5F" w14:textId="4F2BF96E" w:rsidR="00366B22" w:rsidRPr="00833687" w:rsidRDefault="00E3307D" w:rsidP="0077355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 xml:space="preserve">                     Normally </w:t>
                            </w:r>
                            <w:r w:rsidR="00D80C42">
                              <w:rPr>
                                <w:rFonts w:cs="Arial"/>
                                <w:bCs/>
                              </w:rPr>
                              <w:t>i</w:t>
                            </w:r>
                            <w:r w:rsidR="00F21CD7">
                              <w:rPr>
                                <w:rFonts w:cs="Arial"/>
                                <w:bCs/>
                              </w:rPr>
                              <w:t xml:space="preserve">n attendance </w:t>
                            </w:r>
                            <w:r w:rsidR="00D86B11">
                              <w:t>Kristian Kinnaird</w:t>
                            </w:r>
                            <w:r w:rsidR="00F21CD7">
                              <w:t>,</w:t>
                            </w:r>
                            <w:r w:rsidR="00D86B11">
                              <w:t xml:space="preserve"> Head of IT </w:t>
                            </w:r>
                          </w:p>
                          <w:p w14:paraId="61EB1EF4" w14:textId="140F653D" w:rsidR="00366B22" w:rsidRDefault="00366B22" w:rsidP="0077355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279E5CA" w14:textId="3C560C81" w:rsidR="00366B22" w:rsidRPr="00833687" w:rsidRDefault="00366B22" w:rsidP="00773553">
                            <w:pPr>
                              <w:rPr>
                                <w:rFonts w:cs="Arial"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D86B11">
                              <w:rPr>
                                <w:rFonts w:cs="Arial"/>
                              </w:rPr>
                              <w:t xml:space="preserve">Jim Woods Secretary to the Governing Body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4FD873A0" w14:textId="6765A85D" w:rsidR="00366B22" w:rsidRDefault="00366B22" w:rsidP="0077355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3251AA84" w:rsidR="00366B22" w:rsidRPr="00B1399F" w:rsidRDefault="00366B22" w:rsidP="00773553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>
                              <w:rPr>
                                <w:rFonts w:cs="Calibri"/>
                              </w:rPr>
                              <w:t>Participants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report</w:t>
                            </w:r>
                            <w:r w:rsidR="008F1A1D">
                              <w:rPr>
                                <w:rFonts w:cs="Calibri"/>
                              </w:rPr>
                              <w:t>ed no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80C42">
                              <w:rPr>
                                <w:rFonts w:cs="Calibri"/>
                                <w:bCs/>
                              </w:rPr>
                              <w:t xml:space="preserve">perceived, </w:t>
                            </w:r>
                            <w:r w:rsidR="00A17247" w:rsidRPr="00D80C42">
                              <w:rPr>
                                <w:rFonts w:cs="Calibri"/>
                                <w:bCs/>
                              </w:rPr>
                              <w:t>potential,</w:t>
                            </w:r>
                            <w:r w:rsidRPr="00D80C42">
                              <w:rPr>
                                <w:rFonts w:cs="Calibri"/>
                                <w:bCs/>
                              </w:rPr>
                              <w:t xml:space="preserve">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>conflicts of interest under the terms of</w:t>
                            </w:r>
                            <w:r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Pr="00801D41">
                              <w:rPr>
                                <w:rFonts w:cs="Calibri"/>
                              </w:rPr>
                              <w:t xml:space="preserve">V5 </w:t>
                            </w:r>
                            <w:r>
                              <w:rPr>
                                <w:rFonts w:cs="Calibri"/>
                              </w:rPr>
                              <w:t xml:space="preserve">approved by the Governing Body at </w:t>
                            </w:r>
                            <w:r>
                              <w:rPr>
                                <w:b/>
                              </w:rPr>
                              <w:t>GB81a 21/22 22 June 2022</w:t>
                            </w:r>
                            <w:r w:rsidRPr="00CE0F51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DF55962" w14:textId="77777777" w:rsidR="00366B22" w:rsidRPr="00CE0F51" w:rsidRDefault="00366B22" w:rsidP="0077355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4706CDC2" w:rsidR="00366B22" w:rsidRPr="00CE0F51" w:rsidRDefault="00366B22" w:rsidP="00773553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 received at date of issue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8437B90" w14:textId="77777777" w:rsidR="00366B22" w:rsidRDefault="00366B22" w:rsidP="00773553">
                            <w:pPr>
                              <w:rPr>
                                <w:b/>
                              </w:rPr>
                            </w:pPr>
                          </w:p>
                          <w:p w14:paraId="3FA8A207" w14:textId="77777777" w:rsidR="00366B22" w:rsidRDefault="00366B22" w:rsidP="0077355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36297E">
                              <w:rPr>
                                <w:b/>
                                <w:bCs/>
                              </w:rPr>
                              <w:t>to note</w:t>
                            </w:r>
                            <w:r>
                              <w:t xml:space="preserve"> our commitment to Governing Body Leadership Culture Watchwords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00C99FAE" w14:textId="77777777" w:rsidR="00366B22" w:rsidRDefault="00366B22" w:rsidP="00801D41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  <w:r w:rsidRPr="00033B0C">
                              <w:rPr>
                                <w:rFonts w:cstheme="minorHAnsi"/>
                                <w:bCs/>
                              </w:rPr>
                              <w:t>Courageous / Creative / Candour / Challenge</w:t>
                            </w:r>
                          </w:p>
                          <w:p w14:paraId="6EBD2DE4" w14:textId="075D83B1" w:rsidR="00366B22" w:rsidRPr="00CE0F51" w:rsidRDefault="00366B22" w:rsidP="00801D41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6B22" w14:paraId="7EA2BEB9" w14:textId="77777777" w:rsidTr="00366B22">
                        <w:trPr>
                          <w:trHeight w:val="4860"/>
                        </w:trPr>
                        <w:tc>
                          <w:tcPr>
                            <w:tcW w:w="414" w:type="pct"/>
                            <w:vMerge/>
                          </w:tcPr>
                          <w:p w14:paraId="558FDE4C" w14:textId="77777777" w:rsidR="00366B22" w:rsidRDefault="00366B22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</w:p>
                        </w:tc>
                        <w:tc>
                          <w:tcPr>
                            <w:tcW w:w="4586" w:type="pct"/>
                            <w:vMerge/>
                          </w:tcPr>
                          <w:p w14:paraId="0B4FE7F3" w14:textId="77777777" w:rsidR="00366B22" w:rsidRDefault="00366B2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2"/>
        <w:gridCol w:w="8624"/>
      </w:tblGrid>
      <w:tr w:rsidR="004B6825" w14:paraId="3874E293" w14:textId="77777777" w:rsidTr="004B6825">
        <w:trPr>
          <w:tblHeader/>
        </w:trPr>
        <w:tc>
          <w:tcPr>
            <w:tcW w:w="5000" w:type="pct"/>
            <w:gridSpan w:val="2"/>
            <w:shd w:val="clear" w:color="auto" w:fill="36B4E5" w:themeFill="accent1"/>
          </w:tcPr>
          <w:bookmarkEnd w:id="0"/>
          <w:p w14:paraId="10EE6387" w14:textId="5399B698" w:rsidR="004B6825" w:rsidRPr="00C74834" w:rsidRDefault="004B6825" w:rsidP="00C74834">
            <w:pPr>
              <w:rPr>
                <w:b/>
              </w:rPr>
            </w:pPr>
            <w:r>
              <w:rPr>
                <w:b/>
              </w:rPr>
              <w:lastRenderedPageBreak/>
              <w:t>Minutes Draft</w:t>
            </w:r>
          </w:p>
        </w:tc>
      </w:tr>
      <w:tr w:rsidR="004B6825" w14:paraId="29E60599" w14:textId="77777777" w:rsidTr="004B6825">
        <w:tc>
          <w:tcPr>
            <w:tcW w:w="571" w:type="pct"/>
          </w:tcPr>
          <w:p w14:paraId="056D3565" w14:textId="77777777" w:rsidR="004B6825" w:rsidRDefault="004B6825" w:rsidP="003D520B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RC15</w:t>
            </w:r>
          </w:p>
          <w:p w14:paraId="4691CE1F" w14:textId="23F191A5" w:rsidR="004B6825" w:rsidRDefault="004B6825" w:rsidP="003D520B">
            <w:r>
              <w:rPr>
                <w:b/>
                <w:color w:val="36B4E5" w:themeColor="accent1"/>
              </w:rPr>
              <w:t>24/25</w:t>
            </w:r>
          </w:p>
        </w:tc>
        <w:tc>
          <w:tcPr>
            <w:tcW w:w="4429" w:type="pct"/>
          </w:tcPr>
          <w:p w14:paraId="662E0A92" w14:textId="4551300A" w:rsidR="004B6825" w:rsidRPr="004C1923" w:rsidRDefault="004B6825" w:rsidP="39E0FE53">
            <w:pPr>
              <w:rPr>
                <w:b/>
                <w:bCs/>
                <w:color w:val="FFC000"/>
              </w:rPr>
            </w:pPr>
            <w:r w:rsidRPr="39E0FE53">
              <w:rPr>
                <w:b/>
                <w:bCs/>
              </w:rPr>
              <w:t xml:space="preserve">Minutes of the meeting held on </w:t>
            </w:r>
            <w:r>
              <w:rPr>
                <w:b/>
                <w:bCs/>
              </w:rPr>
              <w:t>5 September 2024</w:t>
            </w:r>
          </w:p>
          <w:p w14:paraId="0F587D66" w14:textId="77777777" w:rsidR="004B6825" w:rsidRDefault="004B6825" w:rsidP="003D520B">
            <w:pPr>
              <w:rPr>
                <w:b/>
              </w:rPr>
            </w:pPr>
          </w:p>
          <w:p w14:paraId="50CF7D48" w14:textId="4F283E51" w:rsidR="004B6825" w:rsidRPr="002D65FF" w:rsidRDefault="004B6825" w:rsidP="003D520B">
            <w:r w:rsidRPr="002D65FF">
              <w:t>The Committee approve</w:t>
            </w:r>
            <w:r w:rsidR="001E69B8">
              <w:t>d</w:t>
            </w:r>
            <w:r w:rsidRPr="002D65FF">
              <w:t xml:space="preserve"> the minutes of the previous meeting.</w:t>
            </w:r>
          </w:p>
          <w:p w14:paraId="629D4CB5" w14:textId="77777777" w:rsidR="004B6825" w:rsidRDefault="004B6825" w:rsidP="003D520B"/>
        </w:tc>
      </w:tr>
      <w:tr w:rsidR="004B6825" w14:paraId="21384005" w14:textId="77777777" w:rsidTr="004B6825">
        <w:tc>
          <w:tcPr>
            <w:tcW w:w="571" w:type="pct"/>
          </w:tcPr>
          <w:p w14:paraId="7871908D" w14:textId="77574C1F" w:rsidR="004B6825" w:rsidRDefault="004B6825" w:rsidP="003D520B">
            <w:r>
              <w:rPr>
                <w:b/>
                <w:color w:val="36B4E5" w:themeColor="accent1"/>
              </w:rPr>
              <w:t>RC16 24/25</w:t>
            </w:r>
          </w:p>
        </w:tc>
        <w:tc>
          <w:tcPr>
            <w:tcW w:w="4429" w:type="pct"/>
          </w:tcPr>
          <w:p w14:paraId="43061B15" w14:textId="490F3FBD" w:rsidR="004B6825" w:rsidRDefault="004B6825" w:rsidP="003D520B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>inutes of the meeting held on 5 September 2024</w:t>
            </w:r>
          </w:p>
          <w:p w14:paraId="5C49CBFE" w14:textId="77777777" w:rsidR="004B6825" w:rsidRPr="00CE0F51" w:rsidRDefault="004B6825" w:rsidP="003D520B">
            <w:pPr>
              <w:rPr>
                <w:b/>
              </w:rPr>
            </w:pPr>
          </w:p>
          <w:p w14:paraId="1623C789" w14:textId="77777777" w:rsidR="004B6825" w:rsidRPr="00605434" w:rsidRDefault="004B6825" w:rsidP="003D520B">
            <w:r>
              <w:t>All matters arising are on the agenda of this governance meeting.</w:t>
            </w:r>
          </w:p>
          <w:p w14:paraId="37C3667C" w14:textId="77777777" w:rsidR="004B6825" w:rsidRDefault="004B6825" w:rsidP="003D520B"/>
        </w:tc>
      </w:tr>
      <w:tr w:rsidR="004B6825" w14:paraId="4CC25132" w14:textId="77777777" w:rsidTr="004B6825">
        <w:tc>
          <w:tcPr>
            <w:tcW w:w="571" w:type="pct"/>
          </w:tcPr>
          <w:p w14:paraId="05FCB1F3" w14:textId="68DF4020" w:rsidR="004B6825" w:rsidRDefault="004B6825" w:rsidP="003D520B">
            <w:r>
              <w:rPr>
                <w:b/>
                <w:color w:val="36B4E5" w:themeColor="accent1"/>
              </w:rPr>
              <w:t>RC17 24/25</w:t>
            </w:r>
          </w:p>
        </w:tc>
        <w:tc>
          <w:tcPr>
            <w:tcW w:w="4429" w:type="pct"/>
          </w:tcPr>
          <w:p w14:paraId="75AA9AB3" w14:textId="77777777" w:rsidR="004B6825" w:rsidRPr="005D2B35" w:rsidRDefault="004B6825" w:rsidP="003D520B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4E174C53" w14:textId="77777777" w:rsidR="004B6825" w:rsidRDefault="004B6825" w:rsidP="00F2100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</w:p>
          <w:p w14:paraId="6AA4FE32" w14:textId="7259E44F" w:rsidR="004B6825" w:rsidRDefault="004B6825" w:rsidP="00F2100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None advised to date.</w:t>
            </w:r>
          </w:p>
          <w:p w14:paraId="4A43583F" w14:textId="366B5136" w:rsidR="004B6825" w:rsidRDefault="004B6825" w:rsidP="008F1A1D"/>
        </w:tc>
      </w:tr>
      <w:tr w:rsidR="004B6825" w14:paraId="52C126A2" w14:textId="77777777" w:rsidTr="004B6825">
        <w:tc>
          <w:tcPr>
            <w:tcW w:w="571" w:type="pct"/>
          </w:tcPr>
          <w:p w14:paraId="55B1D7A9" w14:textId="59A7E23A" w:rsidR="004B6825" w:rsidRDefault="004B6825" w:rsidP="003D520B">
            <w:r>
              <w:rPr>
                <w:b/>
                <w:color w:val="36B4E5" w:themeColor="accent1"/>
              </w:rPr>
              <w:t>RC18 24/25</w:t>
            </w:r>
          </w:p>
        </w:tc>
        <w:tc>
          <w:tcPr>
            <w:tcW w:w="4429" w:type="pct"/>
          </w:tcPr>
          <w:p w14:paraId="74DF5680" w14:textId="77777777" w:rsidR="004B6825" w:rsidRPr="000C2CDF" w:rsidRDefault="004B6825" w:rsidP="003D520B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904710">
              <w:rPr>
                <w:b/>
              </w:rPr>
              <w:t xml:space="preserve">V5 </w:t>
            </w:r>
            <w:r>
              <w:rPr>
                <w:b/>
              </w:rPr>
              <w:t>22 June 2022</w:t>
            </w:r>
          </w:p>
          <w:p w14:paraId="37065A1F" w14:textId="77777777" w:rsidR="004B6825" w:rsidRDefault="004B6825" w:rsidP="003D520B">
            <w:pPr>
              <w:rPr>
                <w:b/>
              </w:rPr>
            </w:pPr>
          </w:p>
          <w:p w14:paraId="57BC274A" w14:textId="4A928CF0" w:rsidR="004B6825" w:rsidRDefault="004B6825" w:rsidP="00E21B43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None advised to date.</w:t>
            </w:r>
          </w:p>
          <w:p w14:paraId="22AB48D6" w14:textId="77777777" w:rsidR="004B6825" w:rsidRDefault="004B6825" w:rsidP="008F1A1D"/>
        </w:tc>
      </w:tr>
      <w:tr w:rsidR="004B6825" w14:paraId="2BAFA77F" w14:textId="77777777" w:rsidTr="004B6825">
        <w:tc>
          <w:tcPr>
            <w:tcW w:w="571" w:type="pct"/>
          </w:tcPr>
          <w:p w14:paraId="7119D648" w14:textId="079F799C" w:rsidR="004B6825" w:rsidRDefault="004B682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RC19 24/25</w:t>
            </w:r>
          </w:p>
          <w:p w14:paraId="56F3FBCD" w14:textId="77777777" w:rsidR="004B6825" w:rsidRDefault="004B6825" w:rsidP="003D520B"/>
        </w:tc>
        <w:tc>
          <w:tcPr>
            <w:tcW w:w="4429" w:type="pct"/>
          </w:tcPr>
          <w:p w14:paraId="12391531" w14:textId="77777777" w:rsidR="004B6825" w:rsidRDefault="004B6825" w:rsidP="003D520B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32EEB2B9" w14:textId="77777777" w:rsidR="004B6825" w:rsidRDefault="004B6825" w:rsidP="003D520B">
            <w:pPr>
              <w:tabs>
                <w:tab w:val="right" w:pos="9026"/>
              </w:tabs>
            </w:pPr>
          </w:p>
          <w:p w14:paraId="62618487" w14:textId="2BA5F33B" w:rsidR="00BC7E88" w:rsidRDefault="00BC7E88" w:rsidP="002174EE">
            <w:r>
              <w:t xml:space="preserve">The terms of reference </w:t>
            </w:r>
            <w:r w:rsidR="00D834CA">
              <w:t xml:space="preserve">for the Resources Committee </w:t>
            </w:r>
            <w:r>
              <w:t>have been updated to correct:</w:t>
            </w:r>
          </w:p>
          <w:p w14:paraId="52261026" w14:textId="5FF2CB55" w:rsidR="00BC7E88" w:rsidRDefault="00BC7E88" w:rsidP="002174EE">
            <w:r>
              <w:tab/>
              <w:t>(</w:t>
            </w:r>
            <w:r w:rsidR="00904710">
              <w:t>i</w:t>
            </w:r>
            <w:r>
              <w:t>)</w:t>
            </w:r>
            <w:r>
              <w:tab/>
              <w:t xml:space="preserve">Titles of IT Department </w:t>
            </w:r>
          </w:p>
          <w:p w14:paraId="19466B3B" w14:textId="77777777" w:rsidR="00BC7E88" w:rsidRDefault="00BC7E88" w:rsidP="002174EE">
            <w:r>
              <w:tab/>
              <w:t>(ii)</w:t>
            </w:r>
            <w:r>
              <w:tab/>
              <w:t>1.1 College mission college of choice ……</w:t>
            </w:r>
          </w:p>
          <w:p w14:paraId="3D8C7FB7" w14:textId="77777777" w:rsidR="00BC7E88" w:rsidRDefault="00BC7E88" w:rsidP="002174EE">
            <w:pPr>
              <w:ind w:left="1440" w:hanging="720"/>
            </w:pPr>
            <w:r>
              <w:t>(iii)</w:t>
            </w:r>
            <w:r>
              <w:tab/>
              <w:t xml:space="preserve">Section 2.1 j – Partnership Agreement replaces ‘Management Statement and financial memorandum’ </w:t>
            </w:r>
          </w:p>
          <w:p w14:paraId="520C5BAF" w14:textId="77777777" w:rsidR="00BC7E88" w:rsidRDefault="00BC7E88" w:rsidP="002174EE">
            <w:pPr>
              <w:ind w:left="1440" w:hanging="720"/>
            </w:pPr>
            <w:r>
              <w:t xml:space="preserve">(iv) </w:t>
            </w:r>
            <w:r>
              <w:tab/>
              <w:t xml:space="preserve">Since papers were issued, we have received an approved copy of the Articles and Instruments – Section 5 will be updated to reflect 2024 version </w:t>
            </w:r>
          </w:p>
          <w:p w14:paraId="5CE44252" w14:textId="7F352DAE" w:rsidR="00BC7E88" w:rsidRPr="00496ACB" w:rsidRDefault="00BC7E88" w:rsidP="00496ACB">
            <w:pPr>
              <w:spacing w:after="160" w:line="259" w:lineRule="auto"/>
              <w:ind w:left="1440" w:hanging="720"/>
            </w:pPr>
            <w:r>
              <w:t>(v)</w:t>
            </w:r>
            <w:r>
              <w:tab/>
              <w:t>Section 6.1 – added the term ‘should the committee deem it is required’ a non-executive vice chair selected from members</w:t>
            </w:r>
          </w:p>
          <w:p w14:paraId="25848D4F" w14:textId="338805D1" w:rsidR="004B6825" w:rsidRPr="005C3E17" w:rsidRDefault="00062625" w:rsidP="00DB753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61B1C"/>
                <w:sz w:val="22"/>
                <w:szCs w:val="22"/>
                <w:shd w:val="clear" w:color="auto" w:fill="FFFFFF"/>
              </w:rPr>
              <w:t xml:space="preserve">The Term of Reference were approved </w:t>
            </w:r>
            <w:r w:rsidR="002174EE" w:rsidRPr="008F1A1D">
              <w:rPr>
                <w:rFonts w:asciiTheme="minorHAnsi" w:hAnsiTheme="minorHAnsi" w:cstheme="minorHAnsi"/>
                <w:sz w:val="22"/>
                <w:szCs w:val="22"/>
              </w:rPr>
              <w:t>subject to changes (iii) to (v)</w:t>
            </w:r>
            <w:r w:rsidR="00650B0D">
              <w:t xml:space="preserve"> </w:t>
            </w:r>
            <w:r>
              <w:rPr>
                <w:rFonts w:asciiTheme="minorHAnsi" w:hAnsiTheme="minorHAnsi" w:cstheme="minorHAnsi"/>
                <w:color w:val="161B1C"/>
                <w:sz w:val="22"/>
                <w:szCs w:val="22"/>
                <w:shd w:val="clear" w:color="auto" w:fill="FFFFFF"/>
              </w:rPr>
              <w:t xml:space="preserve">and recommended </w:t>
            </w:r>
            <w:r w:rsidRPr="005C3E17">
              <w:rPr>
                <w:rFonts w:asciiTheme="minorHAnsi" w:hAnsiTheme="minorHAnsi" w:cstheme="minorHAnsi"/>
                <w:color w:val="161B1C"/>
                <w:sz w:val="22"/>
                <w:szCs w:val="22"/>
                <w:shd w:val="clear" w:color="auto" w:fill="FFFFFF"/>
              </w:rPr>
              <w:t>to</w:t>
            </w:r>
            <w:r w:rsidR="004B6825" w:rsidRPr="005C3E17">
              <w:rPr>
                <w:rFonts w:asciiTheme="minorHAnsi" w:hAnsiTheme="minorHAnsi" w:cstheme="minorHAnsi"/>
                <w:color w:val="161B1C"/>
                <w:sz w:val="22"/>
                <w:szCs w:val="22"/>
                <w:shd w:val="clear" w:color="auto" w:fill="FFFFFF"/>
              </w:rPr>
              <w:t xml:space="preserve"> the Governing Body.</w:t>
            </w:r>
          </w:p>
          <w:p w14:paraId="690FD757" w14:textId="6741C095" w:rsidR="004B6825" w:rsidRPr="00496ACB" w:rsidRDefault="004B6825" w:rsidP="00496A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6825" w14:paraId="6510C7F4" w14:textId="77777777" w:rsidTr="004B6825">
        <w:tc>
          <w:tcPr>
            <w:tcW w:w="571" w:type="pct"/>
          </w:tcPr>
          <w:p w14:paraId="07B8971E" w14:textId="77777777" w:rsidR="004B6825" w:rsidRDefault="004B682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RC20</w:t>
            </w:r>
          </w:p>
          <w:p w14:paraId="073E7E8C" w14:textId="7C1D3649" w:rsidR="004B6825" w:rsidRDefault="004B682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24/25</w:t>
            </w:r>
          </w:p>
          <w:p w14:paraId="0CB98290" w14:textId="4297FB66" w:rsidR="004B6825" w:rsidRDefault="004B6825" w:rsidP="003D520B"/>
        </w:tc>
        <w:tc>
          <w:tcPr>
            <w:tcW w:w="4429" w:type="pct"/>
          </w:tcPr>
          <w:p w14:paraId="66062704" w14:textId="70980411" w:rsidR="004B6825" w:rsidRPr="000334E7" w:rsidRDefault="004B6825" w:rsidP="00B15414">
            <w:pPr>
              <w:tabs>
                <w:tab w:val="right" w:pos="9026"/>
              </w:tabs>
              <w:rPr>
                <w:rFonts w:asciiTheme="minorHAnsi" w:hAnsiTheme="minorHAnsi" w:cstheme="minorHAnsi"/>
                <w:color w:val="161B1C"/>
              </w:rPr>
            </w:pPr>
            <w:r w:rsidRPr="000334E7">
              <w:rPr>
                <w:rFonts w:asciiTheme="minorHAnsi" w:hAnsiTheme="minorHAnsi" w:cstheme="minorHAnsi"/>
                <w:b/>
              </w:rPr>
              <w:t xml:space="preserve">Financial Report </w:t>
            </w:r>
            <w:r w:rsidR="00144A77">
              <w:rPr>
                <w:rFonts w:asciiTheme="minorHAnsi" w:hAnsiTheme="minorHAnsi" w:cstheme="minorHAnsi"/>
                <w:bCs/>
              </w:rPr>
              <w:t>–</w:t>
            </w:r>
            <w:r w:rsidRPr="000334E7">
              <w:rPr>
                <w:rFonts w:asciiTheme="minorHAnsi" w:hAnsiTheme="minorHAnsi" w:cstheme="minorHAnsi"/>
                <w:bCs/>
              </w:rPr>
              <w:t xml:space="preserve"> </w:t>
            </w:r>
            <w:r w:rsidR="00144A77">
              <w:rPr>
                <w:rFonts w:asciiTheme="minorHAnsi" w:hAnsiTheme="minorHAnsi" w:cstheme="minorHAnsi"/>
                <w:bCs/>
                <w:color w:val="161B1C"/>
              </w:rPr>
              <w:t xml:space="preserve">Period </w:t>
            </w:r>
            <w:r w:rsidR="004C2BBB">
              <w:rPr>
                <w:rFonts w:asciiTheme="minorHAnsi" w:hAnsiTheme="minorHAnsi" w:cstheme="minorHAnsi"/>
                <w:bCs/>
                <w:color w:val="161B1C"/>
              </w:rPr>
              <w:t>1</w:t>
            </w:r>
            <w:r w:rsidR="004C2BBB" w:rsidRPr="000334E7">
              <w:rPr>
                <w:rFonts w:asciiTheme="minorHAnsi" w:hAnsiTheme="minorHAnsi" w:cstheme="minorHAnsi"/>
                <w:bCs/>
                <w:color w:val="161B1C"/>
              </w:rPr>
              <w:t xml:space="preserve"> </w:t>
            </w:r>
            <w:r w:rsidR="00BE12E6">
              <w:rPr>
                <w:rFonts w:asciiTheme="minorHAnsi" w:hAnsiTheme="minorHAnsi" w:cstheme="minorHAnsi"/>
                <w:bCs/>
                <w:color w:val="161B1C"/>
              </w:rPr>
              <w:t xml:space="preserve">September </w:t>
            </w:r>
            <w:r w:rsidRPr="000334E7">
              <w:rPr>
                <w:rFonts w:asciiTheme="minorHAnsi" w:hAnsiTheme="minorHAnsi" w:cstheme="minorHAnsi"/>
                <w:bCs/>
                <w:color w:val="161B1C"/>
              </w:rPr>
              <w:t>24/25</w:t>
            </w:r>
          </w:p>
          <w:p w14:paraId="0D4E682B" w14:textId="77777777" w:rsidR="004B6825" w:rsidRDefault="004B6825" w:rsidP="00B15414">
            <w:pPr>
              <w:tabs>
                <w:tab w:val="right" w:pos="9026"/>
              </w:tabs>
              <w:rPr>
                <w:rFonts w:asciiTheme="minorHAnsi" w:eastAsia="Times New Roman" w:hAnsiTheme="minorHAnsi" w:cstheme="minorHAnsi"/>
                <w:color w:val="161B1C"/>
              </w:rPr>
            </w:pPr>
          </w:p>
          <w:p w14:paraId="48B3E25E" w14:textId="1B35ED3D" w:rsidR="00144A77" w:rsidRDefault="00FF3B8B" w:rsidP="00B15414">
            <w:pPr>
              <w:tabs>
                <w:tab w:val="right" w:pos="9026"/>
              </w:tabs>
              <w:rPr>
                <w:rFonts w:asciiTheme="minorHAnsi" w:eastAsia="Times New Roman" w:hAnsiTheme="minorHAnsi" w:cstheme="minorHAnsi"/>
                <w:color w:val="161B1C"/>
              </w:rPr>
            </w:pPr>
            <w:r>
              <w:rPr>
                <w:rFonts w:asciiTheme="minorHAnsi" w:eastAsia="Times New Roman" w:hAnsiTheme="minorHAnsi" w:cstheme="minorHAnsi"/>
                <w:color w:val="161B1C"/>
              </w:rPr>
              <w:t>Members commended the executives on the new layout of the fi</w:t>
            </w:r>
            <w:r w:rsidR="008851B4">
              <w:rPr>
                <w:rFonts w:asciiTheme="minorHAnsi" w:eastAsia="Times New Roman" w:hAnsiTheme="minorHAnsi" w:cstheme="minorHAnsi"/>
                <w:color w:val="161B1C"/>
              </w:rPr>
              <w:t>n</w:t>
            </w:r>
            <w:r>
              <w:rPr>
                <w:rFonts w:asciiTheme="minorHAnsi" w:eastAsia="Times New Roman" w:hAnsiTheme="minorHAnsi" w:cstheme="minorHAnsi"/>
                <w:color w:val="161B1C"/>
              </w:rPr>
              <w:t>anc</w:t>
            </w:r>
            <w:r w:rsidR="00BE12E6">
              <w:rPr>
                <w:rFonts w:asciiTheme="minorHAnsi" w:eastAsia="Times New Roman" w:hAnsiTheme="minorHAnsi" w:cstheme="minorHAnsi"/>
                <w:color w:val="161B1C"/>
              </w:rPr>
              <w:t>e</w:t>
            </w:r>
            <w:r>
              <w:rPr>
                <w:rFonts w:asciiTheme="minorHAnsi" w:eastAsia="Times New Roman" w:hAnsiTheme="minorHAnsi" w:cstheme="minorHAnsi"/>
                <w:color w:val="161B1C"/>
              </w:rPr>
              <w:t xml:space="preserve"> report </w:t>
            </w:r>
            <w:r w:rsidR="00683ACE">
              <w:rPr>
                <w:rFonts w:asciiTheme="minorHAnsi" w:eastAsia="Times New Roman" w:hAnsiTheme="minorHAnsi" w:cstheme="minorHAnsi"/>
                <w:color w:val="161B1C"/>
              </w:rPr>
              <w:t xml:space="preserve">which provided aggregated information in one report. </w:t>
            </w:r>
            <w:r w:rsidR="00D530C6">
              <w:rPr>
                <w:rFonts w:asciiTheme="minorHAnsi" w:eastAsia="Times New Roman" w:hAnsiTheme="minorHAnsi" w:cstheme="minorHAnsi"/>
                <w:color w:val="161B1C"/>
              </w:rPr>
              <w:t>COO took members through the report in some detail highlighting that</w:t>
            </w:r>
            <w:r w:rsidR="00E80C04">
              <w:rPr>
                <w:rFonts w:asciiTheme="minorHAnsi" w:eastAsia="Times New Roman" w:hAnsiTheme="minorHAnsi" w:cstheme="minorHAnsi"/>
                <w:color w:val="161B1C"/>
              </w:rPr>
              <w:t xml:space="preserve"> the new </w:t>
            </w:r>
            <w:r w:rsidR="00B16964">
              <w:rPr>
                <w:rFonts w:asciiTheme="minorHAnsi" w:eastAsia="Times New Roman" w:hAnsiTheme="minorHAnsi" w:cstheme="minorHAnsi"/>
                <w:color w:val="161B1C"/>
              </w:rPr>
              <w:t xml:space="preserve">format promotes a </w:t>
            </w:r>
            <w:r w:rsidR="00F822CB">
              <w:rPr>
                <w:rFonts w:asciiTheme="minorHAnsi" w:eastAsia="Times New Roman" w:hAnsiTheme="minorHAnsi" w:cstheme="minorHAnsi"/>
                <w:color w:val="161B1C"/>
              </w:rPr>
              <w:t>top-down</w:t>
            </w:r>
            <w:r w:rsidR="00B16964">
              <w:rPr>
                <w:rFonts w:asciiTheme="minorHAnsi" w:eastAsia="Times New Roman" w:hAnsiTheme="minorHAnsi" w:cstheme="minorHAnsi"/>
                <w:color w:val="161B1C"/>
              </w:rPr>
              <w:t xml:space="preserve"> </w:t>
            </w:r>
            <w:r w:rsidR="00904710">
              <w:rPr>
                <w:rFonts w:asciiTheme="minorHAnsi" w:eastAsia="Times New Roman" w:hAnsiTheme="minorHAnsi" w:cstheme="minorHAnsi"/>
                <w:color w:val="161B1C"/>
              </w:rPr>
              <w:t>allocation,</w:t>
            </w:r>
            <w:r w:rsidR="00B16964">
              <w:rPr>
                <w:rFonts w:asciiTheme="minorHAnsi" w:eastAsia="Times New Roman" w:hAnsiTheme="minorHAnsi" w:cstheme="minorHAnsi"/>
                <w:color w:val="161B1C"/>
              </w:rPr>
              <w:t xml:space="preserve"> and that cost</w:t>
            </w:r>
            <w:r w:rsidR="0007027D">
              <w:rPr>
                <w:rFonts w:asciiTheme="minorHAnsi" w:eastAsia="Times New Roman" w:hAnsiTheme="minorHAnsi" w:cstheme="minorHAnsi"/>
                <w:color w:val="161B1C"/>
              </w:rPr>
              <w:t>s</w:t>
            </w:r>
            <w:r w:rsidR="00B16964">
              <w:rPr>
                <w:rFonts w:asciiTheme="minorHAnsi" w:eastAsia="Times New Roman" w:hAnsiTheme="minorHAnsi" w:cstheme="minorHAnsi"/>
                <w:color w:val="161B1C"/>
              </w:rPr>
              <w:t xml:space="preserve"> are monitored through a </w:t>
            </w:r>
            <w:r w:rsidR="002F7965">
              <w:rPr>
                <w:rFonts w:asciiTheme="minorHAnsi" w:eastAsia="Times New Roman" w:hAnsiTheme="minorHAnsi" w:cstheme="minorHAnsi"/>
                <w:color w:val="161B1C"/>
              </w:rPr>
              <w:t>prudent cost control approach</w:t>
            </w:r>
            <w:r w:rsidR="0086287A">
              <w:rPr>
                <w:rFonts w:asciiTheme="minorHAnsi" w:eastAsia="Times New Roman" w:hAnsiTheme="minorHAnsi" w:cstheme="minorHAnsi"/>
                <w:color w:val="161B1C"/>
              </w:rPr>
              <w:t>.</w:t>
            </w:r>
            <w:r w:rsidR="002F7965">
              <w:rPr>
                <w:rFonts w:asciiTheme="minorHAnsi" w:eastAsia="Times New Roman" w:hAnsiTheme="minorHAnsi" w:cstheme="minorHAnsi"/>
                <w:color w:val="161B1C"/>
              </w:rPr>
              <w:t xml:space="preserve"> </w:t>
            </w:r>
          </w:p>
          <w:p w14:paraId="1B0F3BBF" w14:textId="77777777" w:rsidR="00180238" w:rsidRDefault="00180238" w:rsidP="00B15414">
            <w:pPr>
              <w:tabs>
                <w:tab w:val="right" w:pos="9026"/>
              </w:tabs>
              <w:rPr>
                <w:rFonts w:asciiTheme="minorHAnsi" w:eastAsia="Times New Roman" w:hAnsiTheme="minorHAnsi" w:cstheme="minorHAnsi"/>
                <w:color w:val="161B1C"/>
              </w:rPr>
            </w:pPr>
          </w:p>
          <w:p w14:paraId="24C03F09" w14:textId="67591CDC" w:rsidR="00180238" w:rsidRDefault="00180238" w:rsidP="00B15414">
            <w:pPr>
              <w:tabs>
                <w:tab w:val="right" w:pos="9026"/>
              </w:tabs>
              <w:rPr>
                <w:rFonts w:asciiTheme="minorHAnsi" w:eastAsia="Times New Roman" w:hAnsiTheme="minorHAnsi" w:cstheme="minorHAnsi"/>
                <w:color w:val="161B1C"/>
              </w:rPr>
            </w:pPr>
            <w:r>
              <w:rPr>
                <w:rFonts w:asciiTheme="minorHAnsi" w:eastAsia="Times New Roman" w:hAnsiTheme="minorHAnsi" w:cstheme="minorHAnsi"/>
                <w:color w:val="161B1C"/>
              </w:rPr>
              <w:t xml:space="preserve">The </w:t>
            </w:r>
            <w:r w:rsidR="009819B1">
              <w:rPr>
                <w:rFonts w:asciiTheme="minorHAnsi" w:eastAsia="Times New Roman" w:hAnsiTheme="minorHAnsi" w:cstheme="minorHAnsi"/>
                <w:color w:val="161B1C"/>
              </w:rPr>
              <w:t>Period 2 financial position was</w:t>
            </w:r>
            <w:r w:rsidR="007032F6">
              <w:rPr>
                <w:rFonts w:asciiTheme="minorHAnsi" w:eastAsia="Times New Roman" w:hAnsiTheme="minorHAnsi" w:cstheme="minorHAnsi"/>
                <w:color w:val="161B1C"/>
              </w:rPr>
              <w:t xml:space="preserve"> </w:t>
            </w:r>
            <w:r w:rsidR="009819B1">
              <w:rPr>
                <w:rFonts w:asciiTheme="minorHAnsi" w:eastAsia="Times New Roman" w:hAnsiTheme="minorHAnsi" w:cstheme="minorHAnsi"/>
                <w:color w:val="161B1C"/>
              </w:rPr>
              <w:t xml:space="preserve">reported to Committee </w:t>
            </w:r>
            <w:r w:rsidR="00F071F0">
              <w:rPr>
                <w:rFonts w:asciiTheme="minorHAnsi" w:eastAsia="Times New Roman" w:hAnsiTheme="minorHAnsi" w:cstheme="minorHAnsi"/>
                <w:color w:val="161B1C"/>
              </w:rPr>
              <w:t xml:space="preserve">with income in line with budget and a favourable variance on expenditure at this early reporting period in the year. The </w:t>
            </w:r>
            <w:r w:rsidR="008B296B">
              <w:rPr>
                <w:rFonts w:asciiTheme="minorHAnsi" w:eastAsia="Times New Roman" w:hAnsiTheme="minorHAnsi" w:cstheme="minorHAnsi"/>
                <w:color w:val="161B1C"/>
              </w:rPr>
              <w:t xml:space="preserve">projected income for the College financial year is forecast to </w:t>
            </w:r>
            <w:r w:rsidR="008A0810">
              <w:rPr>
                <w:rFonts w:asciiTheme="minorHAnsi" w:eastAsia="Times New Roman" w:hAnsiTheme="minorHAnsi" w:cstheme="minorHAnsi"/>
                <w:color w:val="161B1C"/>
              </w:rPr>
              <w:t>come in line with budget</w:t>
            </w:r>
            <w:r w:rsidR="001A3BD2">
              <w:rPr>
                <w:rFonts w:asciiTheme="minorHAnsi" w:eastAsia="Times New Roman" w:hAnsiTheme="minorHAnsi" w:cstheme="minorHAnsi"/>
                <w:color w:val="161B1C"/>
              </w:rPr>
              <w:t xml:space="preserve"> and expenditure is forecast is expected to be favourable to budget. </w:t>
            </w:r>
          </w:p>
          <w:p w14:paraId="5CEDB4D4" w14:textId="77777777" w:rsidR="008F44AF" w:rsidRDefault="008F44AF" w:rsidP="00B15414">
            <w:pPr>
              <w:tabs>
                <w:tab w:val="right" w:pos="9026"/>
              </w:tabs>
              <w:rPr>
                <w:rFonts w:asciiTheme="minorHAnsi" w:eastAsia="Times New Roman" w:hAnsiTheme="minorHAnsi" w:cstheme="minorHAnsi"/>
                <w:color w:val="161B1C"/>
              </w:rPr>
            </w:pPr>
          </w:p>
          <w:p w14:paraId="31AD543A" w14:textId="38C3A153" w:rsidR="008F44AF" w:rsidRDefault="008F44AF" w:rsidP="00B15414">
            <w:pPr>
              <w:tabs>
                <w:tab w:val="right" w:pos="9026"/>
              </w:tabs>
              <w:rPr>
                <w:rFonts w:asciiTheme="minorHAnsi" w:eastAsia="Times New Roman" w:hAnsiTheme="minorHAnsi" w:cstheme="minorHAnsi"/>
                <w:color w:val="161B1C"/>
              </w:rPr>
            </w:pPr>
            <w:r>
              <w:rPr>
                <w:rFonts w:asciiTheme="minorHAnsi" w:eastAsia="Times New Roman" w:hAnsiTheme="minorHAnsi" w:cstheme="minorHAnsi"/>
                <w:color w:val="161B1C"/>
              </w:rPr>
              <w:t xml:space="preserve">The Cash position for the reporting period is within the permitted thresholds and the capital </w:t>
            </w:r>
            <w:r w:rsidR="006D5D3B">
              <w:rPr>
                <w:rFonts w:asciiTheme="minorHAnsi" w:eastAsia="Times New Roman" w:hAnsiTheme="minorHAnsi" w:cstheme="minorHAnsi"/>
                <w:color w:val="161B1C"/>
              </w:rPr>
              <w:t xml:space="preserve">allocations have been approved with capital projects commenced in line with approvals. </w:t>
            </w:r>
          </w:p>
          <w:p w14:paraId="1F046C24" w14:textId="77777777" w:rsidR="00D3317B" w:rsidRPr="000334E7" w:rsidRDefault="00D3317B" w:rsidP="003D520B">
            <w:pPr>
              <w:tabs>
                <w:tab w:val="right" w:pos="9026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27C7D21" w14:textId="54ECF052" w:rsidR="00D3317B" w:rsidRDefault="00D3317B" w:rsidP="00D3317B">
            <w:pPr>
              <w:tabs>
                <w:tab w:val="right" w:pos="9026"/>
              </w:tabs>
            </w:pPr>
            <w:r>
              <w:t xml:space="preserve">The Committee </w:t>
            </w:r>
            <w:r w:rsidRPr="00C013FF">
              <w:rPr>
                <w:bCs/>
              </w:rPr>
              <w:t>note</w:t>
            </w:r>
            <w:r w:rsidR="00A17247">
              <w:rPr>
                <w:bCs/>
              </w:rPr>
              <w:t>d</w:t>
            </w:r>
            <w:r>
              <w:t xml:space="preserve"> the information provided and the action taken by Management.</w:t>
            </w:r>
          </w:p>
          <w:p w14:paraId="23EBEF77" w14:textId="77777777" w:rsidR="004B6825" w:rsidRDefault="004B6825" w:rsidP="003D520B"/>
          <w:p w14:paraId="43D29678" w14:textId="77777777" w:rsidR="00A17D22" w:rsidRDefault="00A17D22" w:rsidP="003D520B"/>
        </w:tc>
      </w:tr>
      <w:tr w:rsidR="004B6825" w14:paraId="77A6BFF6" w14:textId="77777777" w:rsidTr="004B6825">
        <w:tc>
          <w:tcPr>
            <w:tcW w:w="571" w:type="pct"/>
          </w:tcPr>
          <w:p w14:paraId="17CEB081" w14:textId="77777777" w:rsidR="004B6825" w:rsidRDefault="00AB4240" w:rsidP="00902780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RC22</w:t>
            </w:r>
          </w:p>
          <w:p w14:paraId="6838F0CE" w14:textId="27C791BD" w:rsidR="00440B98" w:rsidRDefault="00440B98" w:rsidP="00902780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24/25</w:t>
            </w:r>
          </w:p>
        </w:tc>
        <w:tc>
          <w:tcPr>
            <w:tcW w:w="4429" w:type="pct"/>
          </w:tcPr>
          <w:p w14:paraId="2967257E" w14:textId="1402A42E" w:rsidR="004B6825" w:rsidRDefault="004B6825" w:rsidP="003D52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Estate and Facilities Management Report </w:t>
            </w:r>
            <w:r w:rsidR="00D4476B">
              <w:rPr>
                <w:b/>
              </w:rPr>
              <w:t>- Quarter</w:t>
            </w:r>
            <w:r>
              <w:rPr>
                <w:b/>
              </w:rPr>
              <w:t xml:space="preserve"> 1 2024/25</w:t>
            </w:r>
          </w:p>
          <w:p w14:paraId="75161FB9" w14:textId="77777777" w:rsidR="004B6825" w:rsidRPr="00FE3A99" w:rsidRDefault="004B6825" w:rsidP="003D520B">
            <w:pPr>
              <w:tabs>
                <w:tab w:val="right" w:pos="9026"/>
              </w:tabs>
              <w:rPr>
                <w:bCs/>
              </w:rPr>
            </w:pPr>
          </w:p>
          <w:p w14:paraId="06E98117" w14:textId="77777777" w:rsidR="000F738F" w:rsidRDefault="00CD7282" w:rsidP="003D520B">
            <w:pPr>
              <w:tabs>
                <w:tab w:val="right" w:pos="9026"/>
              </w:tabs>
            </w:pPr>
            <w:r>
              <w:t>HEFM took member</w:t>
            </w:r>
            <w:r w:rsidR="00EF0F18">
              <w:t>s</w:t>
            </w:r>
            <w:r>
              <w:t xml:space="preserve"> through the estates report</w:t>
            </w:r>
            <w:r w:rsidR="000C0636">
              <w:t>, highlighting the following salient points</w:t>
            </w:r>
            <w:r w:rsidR="000F738F">
              <w:t>:</w:t>
            </w:r>
          </w:p>
          <w:p w14:paraId="15FA430C" w14:textId="77777777" w:rsidR="000F738F" w:rsidRDefault="000F738F" w:rsidP="003D520B">
            <w:pPr>
              <w:tabs>
                <w:tab w:val="right" w:pos="9026"/>
              </w:tabs>
            </w:pPr>
          </w:p>
          <w:p w14:paraId="49DC23B5" w14:textId="77777777" w:rsidR="000F738F" w:rsidRDefault="000F738F" w:rsidP="000F738F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</w:pPr>
            <w:r>
              <w:t>Castlereagh SOC</w:t>
            </w:r>
          </w:p>
          <w:p w14:paraId="32E276FA" w14:textId="0D97B0F9" w:rsidR="008E4916" w:rsidRPr="008E4916" w:rsidRDefault="00096CB8" w:rsidP="008E4916">
            <w:pPr>
              <w:pStyle w:val="ListParagraph"/>
              <w:numPr>
                <w:ilvl w:val="0"/>
                <w:numId w:val="20"/>
              </w:numPr>
            </w:pPr>
            <w:r>
              <w:t xml:space="preserve">Consolidation </w:t>
            </w:r>
            <w:r w:rsidR="008E4916">
              <w:t xml:space="preserve">works </w:t>
            </w:r>
            <w:r w:rsidR="008F1A1D">
              <w:t xml:space="preserve">- </w:t>
            </w:r>
            <w:r w:rsidR="008F1A1D" w:rsidRPr="008E4916">
              <w:t>Phase</w:t>
            </w:r>
            <w:r w:rsidR="008E4916" w:rsidRPr="008E4916">
              <w:t xml:space="preserve"> one of a central shared service centre project has seen several key services decanted to Springvale, the second phase will commence in Q</w:t>
            </w:r>
            <w:r w:rsidR="008F1A1D" w:rsidRPr="008E4916">
              <w:t>2.</w:t>
            </w:r>
          </w:p>
          <w:p w14:paraId="34FB1B8E" w14:textId="77777777" w:rsidR="008E4916" w:rsidRPr="008E4916" w:rsidRDefault="008E4916" w:rsidP="008E4916">
            <w:pPr>
              <w:pStyle w:val="ListParagraph"/>
              <w:numPr>
                <w:ilvl w:val="0"/>
                <w:numId w:val="20"/>
              </w:numPr>
            </w:pPr>
            <w:r w:rsidRPr="008E4916">
              <w:t>ESOL provision has transferred Millfield following enabling works during the summer. A second phase will see three more classrooms operational by Q12025/26.</w:t>
            </w:r>
          </w:p>
          <w:p w14:paraId="7536A0EE" w14:textId="716B96F1" w:rsidR="00CD7282" w:rsidRDefault="008E4916" w:rsidP="008F1A1D">
            <w:pPr>
              <w:pStyle w:val="ListParagraph"/>
              <w:numPr>
                <w:ilvl w:val="0"/>
                <w:numId w:val="20"/>
              </w:numPr>
            </w:pPr>
            <w:r>
              <w:t xml:space="preserve">Millfield Reversion - </w:t>
            </w:r>
            <w:r w:rsidRPr="008E4916">
              <w:t>The campus will revert to the college in September 2027 when the PFI pathfinder project ends. A number of condition surveys are under way in preparation.</w:t>
            </w:r>
          </w:p>
          <w:p w14:paraId="4A93B02A" w14:textId="77777777" w:rsidR="00FE5CB7" w:rsidRDefault="00FE5CB7" w:rsidP="003D520B">
            <w:pPr>
              <w:tabs>
                <w:tab w:val="right" w:pos="9026"/>
              </w:tabs>
            </w:pPr>
          </w:p>
          <w:p w14:paraId="6DBDF3FD" w14:textId="589FD9D8" w:rsidR="00CD7282" w:rsidRDefault="00EF0F18" w:rsidP="003D520B">
            <w:pPr>
              <w:tabs>
                <w:tab w:val="right" w:pos="9026"/>
              </w:tabs>
            </w:pPr>
            <w:r>
              <w:t xml:space="preserve">No risks to strategic or operational KPIs were identified. </w:t>
            </w:r>
          </w:p>
          <w:p w14:paraId="01C2D278" w14:textId="77777777" w:rsidR="008F1A1D" w:rsidRDefault="008F1A1D" w:rsidP="003D520B">
            <w:pPr>
              <w:tabs>
                <w:tab w:val="right" w:pos="9026"/>
              </w:tabs>
            </w:pPr>
          </w:p>
          <w:p w14:paraId="66015819" w14:textId="61894CFC" w:rsidR="004B6825" w:rsidRDefault="004B6825" w:rsidP="003D520B">
            <w:pPr>
              <w:tabs>
                <w:tab w:val="right" w:pos="9026"/>
              </w:tabs>
            </w:pPr>
            <w:r>
              <w:t xml:space="preserve">The Committee </w:t>
            </w:r>
            <w:r w:rsidRPr="00C013FF">
              <w:rPr>
                <w:bCs/>
              </w:rPr>
              <w:t>note</w:t>
            </w:r>
            <w:r w:rsidR="00A17247">
              <w:rPr>
                <w:bCs/>
              </w:rPr>
              <w:t>d</w:t>
            </w:r>
            <w:r>
              <w:t xml:space="preserve"> the information provided and the action taken by Management.</w:t>
            </w:r>
          </w:p>
          <w:p w14:paraId="6B7B0179" w14:textId="77777777" w:rsidR="004B6825" w:rsidRDefault="004B6825" w:rsidP="003D520B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4B6825" w14:paraId="7C0040DA" w14:textId="77777777" w:rsidTr="004B6825">
        <w:tc>
          <w:tcPr>
            <w:tcW w:w="571" w:type="pct"/>
          </w:tcPr>
          <w:p w14:paraId="5438C98B" w14:textId="55D3BB40" w:rsidR="004B6825" w:rsidRDefault="004B6825" w:rsidP="00C013FF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</w:t>
            </w:r>
            <w:r w:rsidR="00440B98">
              <w:rPr>
                <w:b/>
                <w:color w:val="36B4E5" w:themeColor="accent1"/>
              </w:rPr>
              <w:t>3</w:t>
            </w:r>
            <w:r>
              <w:rPr>
                <w:b/>
                <w:color w:val="36B4E5" w:themeColor="accent1"/>
              </w:rPr>
              <w:t xml:space="preserve"> 24/25</w:t>
            </w:r>
          </w:p>
          <w:p w14:paraId="477C05EF" w14:textId="77777777" w:rsidR="004B6825" w:rsidRDefault="004B6825" w:rsidP="00C013FF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29" w:type="pct"/>
          </w:tcPr>
          <w:p w14:paraId="2198C326" w14:textId="4DBD6F1A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 – Quarter 1 2024/25</w:t>
            </w:r>
          </w:p>
          <w:p w14:paraId="737ECCB0" w14:textId="77777777" w:rsidR="002B455B" w:rsidRDefault="002B455B" w:rsidP="00C013FF">
            <w:pPr>
              <w:tabs>
                <w:tab w:val="right" w:pos="9026"/>
              </w:tabs>
              <w:rPr>
                <w:b/>
              </w:rPr>
            </w:pPr>
          </w:p>
          <w:p w14:paraId="6DC69121" w14:textId="55EA304E" w:rsidR="00D40759" w:rsidRPr="00D40759" w:rsidRDefault="002B455B" w:rsidP="00D40759">
            <w:pPr>
              <w:tabs>
                <w:tab w:val="right" w:pos="9026"/>
              </w:tabs>
              <w:rPr>
                <w:bCs/>
              </w:rPr>
            </w:pPr>
            <w:r w:rsidRPr="002B455B">
              <w:rPr>
                <w:bCs/>
              </w:rPr>
              <w:t xml:space="preserve">In the absence of the </w:t>
            </w:r>
            <w:r w:rsidR="009B5926">
              <w:rPr>
                <w:bCs/>
              </w:rPr>
              <w:t>HoIT, C</w:t>
            </w:r>
            <w:r w:rsidR="00EF0F18">
              <w:rPr>
                <w:bCs/>
              </w:rPr>
              <w:t>O</w:t>
            </w:r>
            <w:r w:rsidR="009B5926">
              <w:rPr>
                <w:bCs/>
              </w:rPr>
              <w:t xml:space="preserve">O presented the </w:t>
            </w:r>
            <w:r w:rsidR="00DE2E8F">
              <w:rPr>
                <w:bCs/>
              </w:rPr>
              <w:t>IT and Digital Report</w:t>
            </w:r>
            <w:r w:rsidR="00E82663">
              <w:rPr>
                <w:bCs/>
              </w:rPr>
              <w:t>. Much o</w:t>
            </w:r>
            <w:r w:rsidR="00A47386">
              <w:rPr>
                <w:bCs/>
              </w:rPr>
              <w:t>f</w:t>
            </w:r>
            <w:r w:rsidR="00E82663">
              <w:rPr>
                <w:bCs/>
              </w:rPr>
              <w:t xml:space="preserve"> the </w:t>
            </w:r>
            <w:r w:rsidR="008F1A1D">
              <w:rPr>
                <w:bCs/>
              </w:rPr>
              <w:t>work undertaken</w:t>
            </w:r>
            <w:r w:rsidR="00E82663">
              <w:rPr>
                <w:bCs/>
              </w:rPr>
              <w:t xml:space="preserve"> was providing </w:t>
            </w:r>
            <w:r w:rsidR="004F712D">
              <w:rPr>
                <w:bCs/>
              </w:rPr>
              <w:t xml:space="preserve">underpinning support to estates projects in relation to </w:t>
            </w:r>
            <w:r w:rsidR="00EF0F18">
              <w:rPr>
                <w:bCs/>
              </w:rPr>
              <w:t>S</w:t>
            </w:r>
            <w:r w:rsidR="004F712D">
              <w:rPr>
                <w:bCs/>
              </w:rPr>
              <w:t>hare</w:t>
            </w:r>
            <w:r w:rsidR="00EF0F18">
              <w:rPr>
                <w:bCs/>
              </w:rPr>
              <w:t>d</w:t>
            </w:r>
            <w:r w:rsidR="004F712D">
              <w:rPr>
                <w:bCs/>
              </w:rPr>
              <w:t xml:space="preserve"> </w:t>
            </w:r>
            <w:r w:rsidR="00EF0F18">
              <w:rPr>
                <w:bCs/>
              </w:rPr>
              <w:t>S</w:t>
            </w:r>
            <w:r w:rsidR="004F712D">
              <w:rPr>
                <w:bCs/>
              </w:rPr>
              <w:t xml:space="preserve">ervices and the ESOL move to Millfield. </w:t>
            </w:r>
            <w:r w:rsidR="00D40759">
              <w:rPr>
                <w:bCs/>
              </w:rPr>
              <w:t xml:space="preserve"> </w:t>
            </w:r>
            <w:r w:rsidR="00D40759" w:rsidRPr="00D40759">
              <w:rPr>
                <w:bCs/>
              </w:rPr>
              <w:t xml:space="preserve">Digital innovation continues in conjunction with other departments the proposed introduction of a CRM highlighted as a case in point. </w:t>
            </w:r>
          </w:p>
          <w:p w14:paraId="4D352092" w14:textId="75BA7F31" w:rsidR="002B455B" w:rsidRDefault="002B455B" w:rsidP="00C013FF">
            <w:pPr>
              <w:tabs>
                <w:tab w:val="right" w:pos="9026"/>
              </w:tabs>
              <w:rPr>
                <w:bCs/>
              </w:rPr>
            </w:pPr>
          </w:p>
          <w:p w14:paraId="5A0C0710" w14:textId="3B9F463E" w:rsidR="004B6825" w:rsidRPr="000C1813" w:rsidRDefault="004B6825" w:rsidP="00C013FF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5B4417">
              <w:rPr>
                <w:bCs/>
              </w:rPr>
              <w:t>note</w:t>
            </w:r>
            <w:r w:rsidR="00DE2E8F">
              <w:rPr>
                <w:bCs/>
              </w:rPr>
              <w:t>d</w:t>
            </w:r>
            <w:r>
              <w:rPr>
                <w:bCs/>
              </w:rPr>
              <w:t xml:space="preserve"> the information </w:t>
            </w:r>
            <w:r w:rsidR="00904710">
              <w:rPr>
                <w:bCs/>
              </w:rPr>
              <w:t>provided,</w:t>
            </w:r>
            <w:r>
              <w:rPr>
                <w:bCs/>
              </w:rPr>
              <w:t xml:space="preserve"> and the action taken by Management.</w:t>
            </w:r>
          </w:p>
          <w:p w14:paraId="7BFC6FF9" w14:textId="77777777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4B6825" w14:paraId="2B857AD6" w14:textId="77777777" w:rsidTr="004B6825">
        <w:tc>
          <w:tcPr>
            <w:tcW w:w="571" w:type="pct"/>
          </w:tcPr>
          <w:p w14:paraId="41A73321" w14:textId="0080C193" w:rsidR="004B6825" w:rsidRDefault="004B6825" w:rsidP="00C013FF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</w:t>
            </w:r>
            <w:r w:rsidR="00440B98">
              <w:rPr>
                <w:b/>
                <w:color w:val="36B4E5" w:themeColor="accent1"/>
              </w:rPr>
              <w:t>4</w:t>
            </w:r>
            <w:r>
              <w:rPr>
                <w:b/>
                <w:color w:val="36B4E5" w:themeColor="accent1"/>
              </w:rPr>
              <w:t xml:space="preserve"> 24/25</w:t>
            </w:r>
          </w:p>
        </w:tc>
        <w:tc>
          <w:tcPr>
            <w:tcW w:w="4429" w:type="pct"/>
          </w:tcPr>
          <w:p w14:paraId="71FF149A" w14:textId="77777777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>Any Other Busines</w:t>
            </w:r>
            <w:r>
              <w:rPr>
                <w:b/>
              </w:rPr>
              <w:t>s</w:t>
            </w:r>
          </w:p>
          <w:p w14:paraId="61C658BF" w14:textId="77777777" w:rsidR="004B6825" w:rsidRDefault="004B6825" w:rsidP="00C013FF">
            <w:pPr>
              <w:tabs>
                <w:tab w:val="right" w:pos="9026"/>
              </w:tabs>
              <w:rPr>
                <w:bCs/>
              </w:rPr>
            </w:pPr>
          </w:p>
          <w:p w14:paraId="78F27BBC" w14:textId="452149FF" w:rsidR="004B6825" w:rsidRDefault="008F1A1D" w:rsidP="00C013FF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There were no matters of any other business</w:t>
            </w:r>
            <w:r w:rsidR="004B6825">
              <w:rPr>
                <w:bCs/>
              </w:rPr>
              <w:t>.</w:t>
            </w:r>
          </w:p>
          <w:p w14:paraId="466153A7" w14:textId="74935EFC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4B6825" w14:paraId="1631011B" w14:textId="77777777" w:rsidTr="004B6825">
        <w:tc>
          <w:tcPr>
            <w:tcW w:w="571" w:type="pct"/>
          </w:tcPr>
          <w:p w14:paraId="0C1192BF" w14:textId="10AF07E8" w:rsidR="004B6825" w:rsidRDefault="004B6825" w:rsidP="00C013FF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</w:t>
            </w:r>
            <w:r w:rsidR="00440B98">
              <w:rPr>
                <w:b/>
                <w:color w:val="36B4E5" w:themeColor="accent1"/>
              </w:rPr>
              <w:t>5</w:t>
            </w:r>
            <w:r>
              <w:rPr>
                <w:b/>
                <w:color w:val="36B4E5" w:themeColor="accent1"/>
              </w:rPr>
              <w:t xml:space="preserve"> 24/25</w:t>
            </w:r>
          </w:p>
          <w:p w14:paraId="054252DC" w14:textId="03032ADB" w:rsidR="004B6825" w:rsidRDefault="004B6825" w:rsidP="00C013FF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29" w:type="pct"/>
          </w:tcPr>
          <w:p w14:paraId="7BB71D98" w14:textId="77777777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3AF748C7" w14:textId="77777777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</w:p>
          <w:p w14:paraId="3D7AF304" w14:textId="77777777" w:rsidR="005B4417" w:rsidRDefault="005B4417" w:rsidP="005B4417">
            <w:pPr>
              <w:contextualSpacing/>
              <w:jc w:val="center"/>
              <w:rPr>
                <w:rFonts w:cstheme="minorHAnsi"/>
                <w:bCs/>
              </w:rPr>
            </w:pPr>
            <w:r w:rsidRPr="00033B0C">
              <w:rPr>
                <w:rFonts w:cstheme="minorHAnsi"/>
                <w:bCs/>
              </w:rPr>
              <w:t>Courageous / Creative / Candour / Challenge</w:t>
            </w:r>
          </w:p>
          <w:p w14:paraId="59FF981A" w14:textId="77777777" w:rsidR="005B4417" w:rsidRDefault="005B4417" w:rsidP="00C013FF">
            <w:pPr>
              <w:tabs>
                <w:tab w:val="right" w:pos="9026"/>
              </w:tabs>
              <w:rPr>
                <w:b/>
              </w:rPr>
            </w:pPr>
          </w:p>
          <w:p w14:paraId="3BAFDE2C" w14:textId="29B36551" w:rsidR="004B6825" w:rsidRDefault="004B6825" w:rsidP="00C013FF">
            <w:r>
              <w:rPr>
                <w:b/>
              </w:rPr>
              <w:t xml:space="preserve">Leadership Culture: </w:t>
            </w:r>
            <w:r>
              <w:t xml:space="preserve">Chair </w:t>
            </w:r>
            <w:r w:rsidR="008F1A1D">
              <w:t>sought</w:t>
            </w:r>
            <w:r>
              <w:t xml:space="preserve"> feedback as to how well we lived up to our aspirations</w:t>
            </w:r>
            <w:r w:rsidR="008F1A1D">
              <w:t>, there was general consensus that the meeting had been conducted accordingly</w:t>
            </w:r>
            <w:r>
              <w:t>.</w:t>
            </w:r>
          </w:p>
          <w:p w14:paraId="5C71867B" w14:textId="77777777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4B6825" w14:paraId="2021B923" w14:textId="77777777" w:rsidTr="004B6825">
        <w:tc>
          <w:tcPr>
            <w:tcW w:w="571" w:type="pct"/>
          </w:tcPr>
          <w:p w14:paraId="0533D948" w14:textId="12BD91BC" w:rsidR="004B6825" w:rsidRDefault="004B6825" w:rsidP="00C013FF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RC2</w:t>
            </w:r>
            <w:r w:rsidR="00440B98">
              <w:rPr>
                <w:b/>
                <w:color w:val="36B4E5" w:themeColor="accent1"/>
              </w:rPr>
              <w:t>6</w:t>
            </w:r>
            <w:r>
              <w:rPr>
                <w:b/>
                <w:color w:val="36B4E5" w:themeColor="accent1"/>
              </w:rPr>
              <w:t xml:space="preserve"> 24/25</w:t>
            </w:r>
          </w:p>
        </w:tc>
        <w:tc>
          <w:tcPr>
            <w:tcW w:w="4429" w:type="pct"/>
          </w:tcPr>
          <w:p w14:paraId="1C1A380C" w14:textId="4BB5D1FB" w:rsidR="004B6825" w:rsidRDefault="004B6825" w:rsidP="00C013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Date of next meetings for the Governance Programme 2024/25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E8B0F57" w14:textId="77777777" w:rsidR="004B6825" w:rsidRDefault="004B6825" w:rsidP="00C013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B8F0F06" w14:textId="77777777" w:rsidR="004B6825" w:rsidRDefault="004B6825" w:rsidP="00C013F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Wednesday 5 March 2025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403AE3" w14:textId="77777777" w:rsidR="004B6825" w:rsidRDefault="004B6825" w:rsidP="00C013F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Wednesday 4 June 2025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EBF250" w14:textId="77777777" w:rsidR="004B6825" w:rsidRDefault="004B6825" w:rsidP="00C013FF">
            <w:pPr>
              <w:tabs>
                <w:tab w:val="right" w:pos="9026"/>
              </w:tabs>
              <w:rPr>
                <w:b/>
              </w:rPr>
            </w:pPr>
          </w:p>
          <w:p w14:paraId="312340CD" w14:textId="7F69EE10" w:rsidR="004B6825" w:rsidRPr="00DB753F" w:rsidRDefault="004B6825" w:rsidP="00C013FF">
            <w:pPr>
              <w:shd w:val="clear" w:color="auto" w:fill="FFFFFF"/>
              <w:spacing w:after="100" w:afterAutospacing="1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The meeting end</w:t>
            </w:r>
            <w:r w:rsidR="00A47386">
              <w:rPr>
                <w:rStyle w:val="normaltextrun"/>
                <w:rFonts w:cs="Calibri"/>
                <w:color w:val="000000"/>
                <w:shd w:val="clear" w:color="auto" w:fill="FFFFFF"/>
              </w:rPr>
              <w:t>ed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A47386">
              <w:rPr>
                <w:rStyle w:val="normaltextrun"/>
                <w:rFonts w:cs="Calibri"/>
                <w:color w:val="000000"/>
                <w:shd w:val="clear" w:color="auto" w:fill="FFFFFF"/>
              </w:rPr>
              <w:t>at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A47386">
              <w:rPr>
                <w:rStyle w:val="normaltextrun"/>
                <w:rFonts w:cs="Calibri"/>
                <w:color w:val="000000"/>
                <w:shd w:val="clear" w:color="auto" w:fill="FFFFFF"/>
              </w:rPr>
              <w:t>5:15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pm.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</w:tbl>
    <w:p w14:paraId="327848A7" w14:textId="77777777" w:rsidR="003D520B" w:rsidRDefault="003D520B"/>
    <w:p w14:paraId="3B6CE33E" w14:textId="77777777" w:rsidR="009F3BAA" w:rsidRDefault="009F3BAA"/>
    <w:p w14:paraId="255C4768" w14:textId="77777777" w:rsidR="009F3BAA" w:rsidRDefault="009F3BAA"/>
    <w:p w14:paraId="18C3DA9D" w14:textId="77777777" w:rsidR="009F3BAA" w:rsidRDefault="009F3BAA"/>
    <w:p w14:paraId="08CE618F" w14:textId="77777777" w:rsidR="009F3BAA" w:rsidRDefault="009F3BAA"/>
    <w:p w14:paraId="2BC5E7A7" w14:textId="77777777" w:rsidR="009F3BAA" w:rsidRDefault="009F3BAA"/>
    <w:tbl>
      <w:tblPr>
        <w:tblStyle w:val="TableGrid"/>
        <w:tblW w:w="4295" w:type="pct"/>
        <w:jc w:val="center"/>
        <w:tblLook w:val="04A0" w:firstRow="1" w:lastRow="0" w:firstColumn="1" w:lastColumn="0" w:noHBand="0" w:noVBand="1"/>
      </w:tblPr>
      <w:tblGrid>
        <w:gridCol w:w="4248"/>
        <w:gridCol w:w="4115"/>
      </w:tblGrid>
      <w:tr w:rsidR="001B39E0" w14:paraId="12F746CD" w14:textId="77777777" w:rsidTr="00BC42E3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A6AFE" w14:textId="11EEE460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Governing Body Attendance Report and Governing Body Member Assessment 202</w:t>
            </w:r>
            <w:r w:rsidR="005B4417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/2</w:t>
            </w:r>
            <w:r w:rsidR="005B4417">
              <w:rPr>
                <w:rFonts w:cstheme="minorHAnsi"/>
                <w:b/>
                <w:bCs/>
              </w:rPr>
              <w:t>5</w:t>
            </w:r>
          </w:p>
        </w:tc>
      </w:tr>
      <w:tr w:rsidR="001B39E0" w14:paraId="1A92DB19" w14:textId="77777777" w:rsidTr="00BC42E3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3E69D" w14:textId="5BB3240B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Participation </w:t>
            </w:r>
            <w:r w:rsidRPr="00AB4240">
              <w:rPr>
                <w:rFonts w:cstheme="minorHAnsi"/>
                <w:b/>
                <w:bCs/>
              </w:rPr>
              <w:t>at RC</w:t>
            </w:r>
            <w:r w:rsidR="00C371B2" w:rsidRPr="00AB4240">
              <w:rPr>
                <w:rFonts w:cstheme="minorHAnsi"/>
                <w:b/>
                <w:bCs/>
              </w:rPr>
              <w:t>14</w:t>
            </w:r>
            <w:r w:rsidRPr="00AB4240">
              <w:rPr>
                <w:rFonts w:cstheme="minorHAnsi"/>
                <w:b/>
                <w:bCs/>
              </w:rPr>
              <w:t xml:space="preserve"> 2</w:t>
            </w:r>
            <w:r w:rsidR="00C371B2" w:rsidRPr="00AB4240">
              <w:rPr>
                <w:rFonts w:cstheme="minorHAnsi"/>
                <w:b/>
                <w:bCs/>
              </w:rPr>
              <w:t>4</w:t>
            </w:r>
            <w:r w:rsidRPr="00AB4240">
              <w:rPr>
                <w:rFonts w:cstheme="minorHAnsi"/>
                <w:b/>
                <w:bCs/>
              </w:rPr>
              <w:t>/2</w:t>
            </w:r>
            <w:r w:rsidR="00C371B2" w:rsidRPr="00AB4240">
              <w:rPr>
                <w:rFonts w:cstheme="minorHAnsi"/>
                <w:b/>
                <w:bCs/>
              </w:rPr>
              <w:t>5</w:t>
            </w:r>
            <w:r w:rsidRPr="00AB4240">
              <w:rPr>
                <w:rFonts w:cstheme="minorHAnsi"/>
                <w:b/>
                <w:bCs/>
              </w:rPr>
              <w:t xml:space="preserve"> Resources Committee Meeting </w:t>
            </w:r>
            <w:r>
              <w:rPr>
                <w:rFonts w:cstheme="minorHAnsi"/>
                <w:b/>
                <w:bCs/>
              </w:rPr>
              <w:t>held</w:t>
            </w:r>
            <w:r w:rsidR="00C371B2">
              <w:rPr>
                <w:rFonts w:cstheme="minorHAnsi"/>
                <w:b/>
                <w:bCs/>
              </w:rPr>
              <w:t xml:space="preserve"> 5 November</w:t>
            </w:r>
            <w:r w:rsidR="004D40C3">
              <w:rPr>
                <w:rFonts w:cstheme="minorHAnsi"/>
                <w:b/>
                <w:bCs/>
              </w:rPr>
              <w:t xml:space="preserve"> 202</w:t>
            </w:r>
            <w:r w:rsidR="00C371B2">
              <w:rPr>
                <w:rFonts w:cstheme="minorHAnsi"/>
                <w:b/>
                <w:bCs/>
              </w:rPr>
              <w:t>4</w:t>
            </w:r>
          </w:p>
        </w:tc>
      </w:tr>
      <w:tr w:rsidR="001B39E0" w14:paraId="21983072" w14:textId="77777777" w:rsidTr="00C371B2">
        <w:trPr>
          <w:tblHeader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BFB31" w14:textId="71AFE245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In-person </w:t>
            </w:r>
            <w:r w:rsidR="008E0125">
              <w:rPr>
                <w:rFonts w:cstheme="minorHAnsi"/>
                <w:b/>
                <w:bCs/>
              </w:rPr>
              <w:t>in the Board Room, Titanic Quarter Campus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0479E" w14:textId="77777777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via MS Teams</w:t>
            </w:r>
          </w:p>
        </w:tc>
      </w:tr>
      <w:tr w:rsidR="001B39E0" w14:paraId="533C3358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A28" w14:textId="39A80CE1" w:rsidR="001B39E0" w:rsidRDefault="00F777A9" w:rsidP="00BC42E3">
            <w:pPr>
              <w:rPr>
                <w:rFonts w:cstheme="minorHAnsi"/>
              </w:rPr>
            </w:pPr>
            <w:r w:rsidRPr="00684026">
              <w:t>Seamus Dawson (Chair)</w:t>
            </w:r>
            <w:r>
              <w:t xml:space="preserve"> Damian Duffy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B14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24ED846F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228" w14:textId="6E76AE87" w:rsidR="001B39E0" w:rsidRDefault="00F777A9" w:rsidP="00BC42E3">
            <w:pPr>
              <w:rPr>
                <w:rFonts w:cstheme="minorHAnsi"/>
              </w:rPr>
            </w:pPr>
            <w:r>
              <w:t>Tom Hesketh;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48B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6DDEBCF4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B4B" w14:textId="1CC69FF2" w:rsidR="001B39E0" w:rsidRDefault="00F777A9" w:rsidP="00BC42E3">
            <w:pPr>
              <w:rPr>
                <w:rFonts w:cstheme="minorHAnsi"/>
              </w:rPr>
            </w:pPr>
            <w:r>
              <w:t>Yvonne Murphy;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556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75E086D6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F3E" w14:textId="2722D7A6" w:rsidR="001B39E0" w:rsidRDefault="00F777A9" w:rsidP="00BC42E3">
            <w:pPr>
              <w:rPr>
                <w:rFonts w:cstheme="minorHAnsi"/>
              </w:rPr>
            </w:pPr>
            <w:r>
              <w:t>Lauren McAteer;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814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2E5A1D38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C33" w14:textId="7F02D90B" w:rsidR="001B39E0" w:rsidRDefault="00F777A9" w:rsidP="00BC42E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Janis Leaden</w:t>
            </w:r>
            <w:r>
              <w:t>;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F20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34342617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B14" w14:textId="24CFC206" w:rsidR="001B39E0" w:rsidRDefault="00F777A9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Damian Duffy 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106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B73371" w14:paraId="0D463865" w14:textId="77777777" w:rsidTr="00C371B2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C49" w14:textId="64BEA3FE" w:rsidR="00B73371" w:rsidRDefault="00B73371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Michael McKernan 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43B" w14:textId="77777777" w:rsidR="00B73371" w:rsidRDefault="00B73371" w:rsidP="00BC42E3">
            <w:pPr>
              <w:rPr>
                <w:rFonts w:cstheme="minorHAnsi"/>
              </w:rPr>
            </w:pPr>
          </w:p>
        </w:tc>
      </w:tr>
    </w:tbl>
    <w:p w14:paraId="07D59DC6" w14:textId="77777777" w:rsidR="00366B22" w:rsidRDefault="00366B22" w:rsidP="00C35D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7EF50EA" w14:textId="77777777" w:rsidR="00FC1091" w:rsidRDefault="00FC1091" w:rsidP="00C35D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1D92740" w14:textId="77777777" w:rsidR="00FC1091" w:rsidRDefault="00FC1091" w:rsidP="00C35D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7FEC4A0" w14:textId="53B73AF3" w:rsidR="00C35D5D" w:rsidRDefault="00CB63EC" w:rsidP="003C7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Approved at Resources Committee 5 March </w:t>
      </w:r>
      <w:r w:rsidR="00FC1091">
        <w:rPr>
          <w:rStyle w:val="normaltextrun"/>
          <w:rFonts w:ascii="Calibri" w:hAnsi="Calibri" w:cs="Calibri"/>
          <w:b/>
          <w:bCs/>
          <w:sz w:val="22"/>
          <w:szCs w:val="22"/>
        </w:rPr>
        <w:t>2025</w:t>
      </w:r>
    </w:p>
    <w:p w14:paraId="5119176F" w14:textId="5CE245EF" w:rsidR="00FC1091" w:rsidRPr="003C7C63" w:rsidRDefault="00FC1091" w:rsidP="003C7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Approved for release at the Governing Body Meeting 31 March 2025</w:t>
      </w:r>
    </w:p>
    <w:sectPr w:rsidR="00FC1091" w:rsidRPr="003C7C63" w:rsidSect="00B21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554F" w14:textId="77777777" w:rsidR="007710FF" w:rsidRDefault="007710FF" w:rsidP="0046542E">
      <w:pPr>
        <w:spacing w:after="0" w:line="240" w:lineRule="auto"/>
      </w:pPr>
      <w:r>
        <w:separator/>
      </w:r>
    </w:p>
  </w:endnote>
  <w:endnote w:type="continuationSeparator" w:id="0">
    <w:p w14:paraId="3D02BBC0" w14:textId="77777777" w:rsidR="007710FF" w:rsidRDefault="007710FF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FE32" w14:textId="77777777" w:rsidR="00296058" w:rsidRDefault="0029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801704" w14:textId="0DF4D019" w:rsidR="00AA323B" w:rsidRPr="007A3BE5" w:rsidRDefault="00AA323B">
            <w:pPr>
              <w:pStyle w:val="Footer"/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</w:t>
            </w:r>
            <w:r w:rsidR="007931D7">
              <w:rPr>
                <w:b/>
                <w:bCs/>
                <w:color w:val="36B4E5" w:themeColor="accent1"/>
              </w:rPr>
              <w:t>C</w:t>
            </w:r>
            <w:r w:rsidR="00366B22">
              <w:rPr>
                <w:b/>
                <w:bCs/>
                <w:color w:val="36B4E5" w:themeColor="accent1"/>
              </w:rPr>
              <w:t>27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A472C2">
              <w:rPr>
                <w:b/>
                <w:bCs/>
                <w:color w:val="36B4E5" w:themeColor="accent1"/>
              </w:rPr>
              <w:t>4/</w:t>
            </w:r>
            <w:r w:rsidR="00C7686C">
              <w:rPr>
                <w:b/>
                <w:bCs/>
                <w:color w:val="36B4E5" w:themeColor="accent1"/>
              </w:rPr>
              <w:t>25 Meeting</w:t>
            </w:r>
            <w:r w:rsidR="00B243DB" w:rsidRPr="007A3BE5">
              <w:rPr>
                <w:b/>
                <w:bCs/>
              </w:rPr>
              <w:t xml:space="preserve"> </w:t>
            </w:r>
            <w:r w:rsidR="00EF6BCF">
              <w:rPr>
                <w:b/>
                <w:bCs/>
              </w:rPr>
              <w:t xml:space="preserve">5 November </w:t>
            </w:r>
            <w:r w:rsidR="0028506A">
              <w:rPr>
                <w:b/>
                <w:bCs/>
              </w:rPr>
              <w:t>202</w:t>
            </w:r>
            <w:r w:rsidR="003A34FD">
              <w:rPr>
                <w:b/>
                <w:bCs/>
              </w:rPr>
              <w:t>4</w:t>
            </w:r>
            <w:r w:rsidR="00692228">
              <w:rPr>
                <w:b/>
                <w:bCs/>
              </w:rPr>
              <w:t xml:space="preserve"> </w:t>
            </w:r>
            <w:r w:rsidR="00815283">
              <w:rPr>
                <w:b/>
                <w:bCs/>
              </w:rPr>
              <w:t xml:space="preserve">Approved Minutes 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4D87" w14:textId="77777777" w:rsidR="00296058" w:rsidRDefault="0029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78A2" w14:textId="77777777" w:rsidR="007710FF" w:rsidRDefault="007710FF" w:rsidP="0046542E">
      <w:pPr>
        <w:spacing w:after="0" w:line="240" w:lineRule="auto"/>
      </w:pPr>
      <w:r>
        <w:separator/>
      </w:r>
    </w:p>
  </w:footnote>
  <w:footnote w:type="continuationSeparator" w:id="0">
    <w:p w14:paraId="1A642066" w14:textId="77777777" w:rsidR="007710FF" w:rsidRDefault="007710FF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2BE9" w14:textId="77777777" w:rsidR="00296058" w:rsidRDefault="0029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66DC3CAA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8" style="position:absolute;margin-left:417.3pt;margin-top:22.85pt;width:468.5pt;height:21.3pt;z-index:-251659264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3CEE" w14:textId="77777777" w:rsidR="00296058" w:rsidRDefault="00296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C1"/>
    <w:multiLevelType w:val="hybridMultilevel"/>
    <w:tmpl w:val="299C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2BB"/>
    <w:multiLevelType w:val="hybridMultilevel"/>
    <w:tmpl w:val="D754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23AF6"/>
    <w:multiLevelType w:val="multilevel"/>
    <w:tmpl w:val="760A0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6886"/>
    <w:multiLevelType w:val="hybridMultilevel"/>
    <w:tmpl w:val="43BE5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62A28"/>
    <w:multiLevelType w:val="hybridMultilevel"/>
    <w:tmpl w:val="0C266656"/>
    <w:lvl w:ilvl="0" w:tplc="EC900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3D37"/>
    <w:multiLevelType w:val="multilevel"/>
    <w:tmpl w:val="4F446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46A2A"/>
    <w:multiLevelType w:val="multilevel"/>
    <w:tmpl w:val="1B2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654C"/>
    <w:multiLevelType w:val="hybridMultilevel"/>
    <w:tmpl w:val="7924C8BE"/>
    <w:lvl w:ilvl="0" w:tplc="AADC4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8695">
    <w:abstractNumId w:val="6"/>
  </w:num>
  <w:num w:numId="2" w16cid:durableId="761225542">
    <w:abstractNumId w:val="2"/>
  </w:num>
  <w:num w:numId="3" w16cid:durableId="150485072">
    <w:abstractNumId w:val="12"/>
  </w:num>
  <w:num w:numId="4" w16cid:durableId="37665943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24874227">
    <w:abstractNumId w:val="4"/>
  </w:num>
  <w:num w:numId="6" w16cid:durableId="571501080">
    <w:abstractNumId w:val="10"/>
  </w:num>
  <w:num w:numId="7" w16cid:durableId="1693070104">
    <w:abstractNumId w:val="15"/>
  </w:num>
  <w:num w:numId="8" w16cid:durableId="1358890834">
    <w:abstractNumId w:val="16"/>
  </w:num>
  <w:num w:numId="9" w16cid:durableId="1030716615">
    <w:abstractNumId w:val="3"/>
  </w:num>
  <w:num w:numId="10" w16cid:durableId="187724901">
    <w:abstractNumId w:val="11"/>
  </w:num>
  <w:num w:numId="11" w16cid:durableId="764182225">
    <w:abstractNumId w:val="1"/>
  </w:num>
  <w:num w:numId="12" w16cid:durableId="1687517576">
    <w:abstractNumId w:val="7"/>
  </w:num>
  <w:num w:numId="13" w16cid:durableId="741374471">
    <w:abstractNumId w:val="13"/>
  </w:num>
  <w:num w:numId="14" w16cid:durableId="838811805">
    <w:abstractNumId w:val="19"/>
  </w:num>
  <w:num w:numId="15" w16cid:durableId="1042629784">
    <w:abstractNumId w:val="5"/>
  </w:num>
  <w:num w:numId="16" w16cid:durableId="2027750566">
    <w:abstractNumId w:val="0"/>
  </w:num>
  <w:num w:numId="17" w16cid:durableId="647176212">
    <w:abstractNumId w:val="17"/>
  </w:num>
  <w:num w:numId="18" w16cid:durableId="1840998280">
    <w:abstractNumId w:val="14"/>
  </w:num>
  <w:num w:numId="19" w16cid:durableId="1165821940">
    <w:abstractNumId w:val="8"/>
  </w:num>
  <w:num w:numId="20" w16cid:durableId="20373429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12091"/>
    <w:rsid w:val="000160C2"/>
    <w:rsid w:val="00016D43"/>
    <w:rsid w:val="00024707"/>
    <w:rsid w:val="00026136"/>
    <w:rsid w:val="00027685"/>
    <w:rsid w:val="000307C5"/>
    <w:rsid w:val="000334E7"/>
    <w:rsid w:val="000341FA"/>
    <w:rsid w:val="00035245"/>
    <w:rsid w:val="0004402B"/>
    <w:rsid w:val="000533A7"/>
    <w:rsid w:val="000561A3"/>
    <w:rsid w:val="000606C4"/>
    <w:rsid w:val="00062625"/>
    <w:rsid w:val="00067700"/>
    <w:rsid w:val="0007027D"/>
    <w:rsid w:val="00075C7E"/>
    <w:rsid w:val="00075F9C"/>
    <w:rsid w:val="00082463"/>
    <w:rsid w:val="000844B7"/>
    <w:rsid w:val="00087624"/>
    <w:rsid w:val="00091BF3"/>
    <w:rsid w:val="00096CB8"/>
    <w:rsid w:val="000A0323"/>
    <w:rsid w:val="000A6B73"/>
    <w:rsid w:val="000A753B"/>
    <w:rsid w:val="000C0636"/>
    <w:rsid w:val="000C1813"/>
    <w:rsid w:val="000C4C0A"/>
    <w:rsid w:val="000C744D"/>
    <w:rsid w:val="000D1DDC"/>
    <w:rsid w:val="000D2440"/>
    <w:rsid w:val="000D52BD"/>
    <w:rsid w:val="000D5502"/>
    <w:rsid w:val="000D6077"/>
    <w:rsid w:val="000D78F9"/>
    <w:rsid w:val="000E175C"/>
    <w:rsid w:val="000E189D"/>
    <w:rsid w:val="000E261D"/>
    <w:rsid w:val="000E6E93"/>
    <w:rsid w:val="000F448A"/>
    <w:rsid w:val="000F4961"/>
    <w:rsid w:val="000F5386"/>
    <w:rsid w:val="000F738F"/>
    <w:rsid w:val="00100D74"/>
    <w:rsid w:val="00106F5F"/>
    <w:rsid w:val="00107328"/>
    <w:rsid w:val="00107733"/>
    <w:rsid w:val="001154B5"/>
    <w:rsid w:val="00115E44"/>
    <w:rsid w:val="00116297"/>
    <w:rsid w:val="00117493"/>
    <w:rsid w:val="00120E47"/>
    <w:rsid w:val="001266AD"/>
    <w:rsid w:val="00134D38"/>
    <w:rsid w:val="00135E74"/>
    <w:rsid w:val="00141BE2"/>
    <w:rsid w:val="00143C05"/>
    <w:rsid w:val="00144A77"/>
    <w:rsid w:val="0014620D"/>
    <w:rsid w:val="0015656F"/>
    <w:rsid w:val="00156FA3"/>
    <w:rsid w:val="00157267"/>
    <w:rsid w:val="00157489"/>
    <w:rsid w:val="00172A06"/>
    <w:rsid w:val="00173561"/>
    <w:rsid w:val="00180238"/>
    <w:rsid w:val="00181F97"/>
    <w:rsid w:val="001A0D83"/>
    <w:rsid w:val="001A3BD2"/>
    <w:rsid w:val="001A3CA8"/>
    <w:rsid w:val="001B39E0"/>
    <w:rsid w:val="001C1A15"/>
    <w:rsid w:val="001C4C6D"/>
    <w:rsid w:val="001C671A"/>
    <w:rsid w:val="001D053F"/>
    <w:rsid w:val="001D2D44"/>
    <w:rsid w:val="001D3427"/>
    <w:rsid w:val="001D70FA"/>
    <w:rsid w:val="001E1288"/>
    <w:rsid w:val="001E563F"/>
    <w:rsid w:val="001E69B8"/>
    <w:rsid w:val="001E7171"/>
    <w:rsid w:val="001E79DB"/>
    <w:rsid w:val="001F4BEF"/>
    <w:rsid w:val="001F73D6"/>
    <w:rsid w:val="001F7915"/>
    <w:rsid w:val="00201A87"/>
    <w:rsid w:val="00203A9E"/>
    <w:rsid w:val="00211E51"/>
    <w:rsid w:val="0021575A"/>
    <w:rsid w:val="002174EE"/>
    <w:rsid w:val="002225CB"/>
    <w:rsid w:val="00226BC3"/>
    <w:rsid w:val="00230E37"/>
    <w:rsid w:val="0023325C"/>
    <w:rsid w:val="002406B8"/>
    <w:rsid w:val="00240DF4"/>
    <w:rsid w:val="00245264"/>
    <w:rsid w:val="002456A2"/>
    <w:rsid w:val="00254137"/>
    <w:rsid w:val="00254432"/>
    <w:rsid w:val="00272469"/>
    <w:rsid w:val="00273306"/>
    <w:rsid w:val="00274A6C"/>
    <w:rsid w:val="0028440C"/>
    <w:rsid w:val="0028506A"/>
    <w:rsid w:val="002864E3"/>
    <w:rsid w:val="00291DA8"/>
    <w:rsid w:val="00293927"/>
    <w:rsid w:val="00296058"/>
    <w:rsid w:val="00296472"/>
    <w:rsid w:val="00297A42"/>
    <w:rsid w:val="002A5C0C"/>
    <w:rsid w:val="002B0353"/>
    <w:rsid w:val="002B0F09"/>
    <w:rsid w:val="002B2B75"/>
    <w:rsid w:val="002B455B"/>
    <w:rsid w:val="002C335D"/>
    <w:rsid w:val="002C5B90"/>
    <w:rsid w:val="002D620E"/>
    <w:rsid w:val="002D65FF"/>
    <w:rsid w:val="002D7452"/>
    <w:rsid w:val="002E272B"/>
    <w:rsid w:val="002E4007"/>
    <w:rsid w:val="002F1BFC"/>
    <w:rsid w:val="002F2128"/>
    <w:rsid w:val="002F38D3"/>
    <w:rsid w:val="002F5052"/>
    <w:rsid w:val="002F519D"/>
    <w:rsid w:val="002F7965"/>
    <w:rsid w:val="00303AAB"/>
    <w:rsid w:val="00304F6B"/>
    <w:rsid w:val="00305595"/>
    <w:rsid w:val="003056B2"/>
    <w:rsid w:val="00307FD3"/>
    <w:rsid w:val="003174AC"/>
    <w:rsid w:val="003177F7"/>
    <w:rsid w:val="003179E0"/>
    <w:rsid w:val="003237D0"/>
    <w:rsid w:val="00336505"/>
    <w:rsid w:val="003365A3"/>
    <w:rsid w:val="00344F52"/>
    <w:rsid w:val="00351169"/>
    <w:rsid w:val="00354E89"/>
    <w:rsid w:val="0035728E"/>
    <w:rsid w:val="00360129"/>
    <w:rsid w:val="003603DE"/>
    <w:rsid w:val="00362268"/>
    <w:rsid w:val="003667CF"/>
    <w:rsid w:val="00366B22"/>
    <w:rsid w:val="00376042"/>
    <w:rsid w:val="00376104"/>
    <w:rsid w:val="00380015"/>
    <w:rsid w:val="0038500B"/>
    <w:rsid w:val="003853A5"/>
    <w:rsid w:val="0038560F"/>
    <w:rsid w:val="003865D6"/>
    <w:rsid w:val="00386CB5"/>
    <w:rsid w:val="0039355D"/>
    <w:rsid w:val="003A0FFF"/>
    <w:rsid w:val="003A1030"/>
    <w:rsid w:val="003A24CD"/>
    <w:rsid w:val="003A34FD"/>
    <w:rsid w:val="003A4D0A"/>
    <w:rsid w:val="003A5780"/>
    <w:rsid w:val="003B2A93"/>
    <w:rsid w:val="003B2B38"/>
    <w:rsid w:val="003C04AE"/>
    <w:rsid w:val="003C499C"/>
    <w:rsid w:val="003C7C63"/>
    <w:rsid w:val="003D520B"/>
    <w:rsid w:val="003D5515"/>
    <w:rsid w:val="003D7F41"/>
    <w:rsid w:val="003E4CEB"/>
    <w:rsid w:val="003F478A"/>
    <w:rsid w:val="003F6658"/>
    <w:rsid w:val="0040393C"/>
    <w:rsid w:val="00404A36"/>
    <w:rsid w:val="00410BD0"/>
    <w:rsid w:val="00411F8E"/>
    <w:rsid w:val="00416B67"/>
    <w:rsid w:val="004173A8"/>
    <w:rsid w:val="00423922"/>
    <w:rsid w:val="004314E3"/>
    <w:rsid w:val="00434CF2"/>
    <w:rsid w:val="00435101"/>
    <w:rsid w:val="004358DB"/>
    <w:rsid w:val="00440B98"/>
    <w:rsid w:val="00442D51"/>
    <w:rsid w:val="00443603"/>
    <w:rsid w:val="004461E7"/>
    <w:rsid w:val="004568C0"/>
    <w:rsid w:val="004649E0"/>
    <w:rsid w:val="00464EC8"/>
    <w:rsid w:val="0046542E"/>
    <w:rsid w:val="004729CE"/>
    <w:rsid w:val="00473D20"/>
    <w:rsid w:val="004808E0"/>
    <w:rsid w:val="00481669"/>
    <w:rsid w:val="0048286E"/>
    <w:rsid w:val="00482E4E"/>
    <w:rsid w:val="00483DBA"/>
    <w:rsid w:val="004913D7"/>
    <w:rsid w:val="00495F53"/>
    <w:rsid w:val="00496ACB"/>
    <w:rsid w:val="004A1BA1"/>
    <w:rsid w:val="004A3694"/>
    <w:rsid w:val="004A41DF"/>
    <w:rsid w:val="004A6462"/>
    <w:rsid w:val="004B12C7"/>
    <w:rsid w:val="004B31E9"/>
    <w:rsid w:val="004B3DA7"/>
    <w:rsid w:val="004B6825"/>
    <w:rsid w:val="004C06CD"/>
    <w:rsid w:val="004C1923"/>
    <w:rsid w:val="004C2BBB"/>
    <w:rsid w:val="004C5921"/>
    <w:rsid w:val="004C7F2B"/>
    <w:rsid w:val="004D32AB"/>
    <w:rsid w:val="004D40C3"/>
    <w:rsid w:val="004E2445"/>
    <w:rsid w:val="004E25EA"/>
    <w:rsid w:val="004E386F"/>
    <w:rsid w:val="004E4492"/>
    <w:rsid w:val="004F07AF"/>
    <w:rsid w:val="004F2034"/>
    <w:rsid w:val="004F211E"/>
    <w:rsid w:val="004F39A5"/>
    <w:rsid w:val="004F675A"/>
    <w:rsid w:val="004F712D"/>
    <w:rsid w:val="0050083C"/>
    <w:rsid w:val="00501A2D"/>
    <w:rsid w:val="00501C74"/>
    <w:rsid w:val="00502DE8"/>
    <w:rsid w:val="005038D7"/>
    <w:rsid w:val="00504FA6"/>
    <w:rsid w:val="005078B3"/>
    <w:rsid w:val="0051563F"/>
    <w:rsid w:val="00516D6C"/>
    <w:rsid w:val="005175AA"/>
    <w:rsid w:val="005175C8"/>
    <w:rsid w:val="00520B5F"/>
    <w:rsid w:val="005213BD"/>
    <w:rsid w:val="00521DB4"/>
    <w:rsid w:val="00522023"/>
    <w:rsid w:val="00523291"/>
    <w:rsid w:val="005248D2"/>
    <w:rsid w:val="00530D24"/>
    <w:rsid w:val="00530FC8"/>
    <w:rsid w:val="00536486"/>
    <w:rsid w:val="00537807"/>
    <w:rsid w:val="00542C06"/>
    <w:rsid w:val="00547334"/>
    <w:rsid w:val="00553264"/>
    <w:rsid w:val="00560805"/>
    <w:rsid w:val="00563E31"/>
    <w:rsid w:val="005667CC"/>
    <w:rsid w:val="00575A4F"/>
    <w:rsid w:val="00583FD5"/>
    <w:rsid w:val="00587A23"/>
    <w:rsid w:val="005A1856"/>
    <w:rsid w:val="005A1B33"/>
    <w:rsid w:val="005A42F6"/>
    <w:rsid w:val="005A4F99"/>
    <w:rsid w:val="005A5F60"/>
    <w:rsid w:val="005A715E"/>
    <w:rsid w:val="005A7CBC"/>
    <w:rsid w:val="005B3E21"/>
    <w:rsid w:val="005B42D5"/>
    <w:rsid w:val="005B4417"/>
    <w:rsid w:val="005C2E56"/>
    <w:rsid w:val="005C3E17"/>
    <w:rsid w:val="005D2B35"/>
    <w:rsid w:val="005E041D"/>
    <w:rsid w:val="005E2862"/>
    <w:rsid w:val="005E2925"/>
    <w:rsid w:val="005F4831"/>
    <w:rsid w:val="005F775F"/>
    <w:rsid w:val="005F7C04"/>
    <w:rsid w:val="00600AC6"/>
    <w:rsid w:val="00604F28"/>
    <w:rsid w:val="006068A9"/>
    <w:rsid w:val="00607B6C"/>
    <w:rsid w:val="00611682"/>
    <w:rsid w:val="006131B9"/>
    <w:rsid w:val="00613AE4"/>
    <w:rsid w:val="006205AD"/>
    <w:rsid w:val="006230C7"/>
    <w:rsid w:val="00630FCF"/>
    <w:rsid w:val="00631963"/>
    <w:rsid w:val="00634AED"/>
    <w:rsid w:val="006416E8"/>
    <w:rsid w:val="00645104"/>
    <w:rsid w:val="00650B0D"/>
    <w:rsid w:val="006536A2"/>
    <w:rsid w:val="00654EF5"/>
    <w:rsid w:val="00660DBD"/>
    <w:rsid w:val="00660F57"/>
    <w:rsid w:val="006614B8"/>
    <w:rsid w:val="006639F0"/>
    <w:rsid w:val="006671AD"/>
    <w:rsid w:val="00667F38"/>
    <w:rsid w:val="00671DA8"/>
    <w:rsid w:val="00674366"/>
    <w:rsid w:val="00677CD8"/>
    <w:rsid w:val="00683ACE"/>
    <w:rsid w:val="00684026"/>
    <w:rsid w:val="00684D06"/>
    <w:rsid w:val="00690546"/>
    <w:rsid w:val="00692228"/>
    <w:rsid w:val="00692412"/>
    <w:rsid w:val="00695946"/>
    <w:rsid w:val="00696EFC"/>
    <w:rsid w:val="006B0251"/>
    <w:rsid w:val="006B54F9"/>
    <w:rsid w:val="006B6093"/>
    <w:rsid w:val="006C3AD5"/>
    <w:rsid w:val="006C66B9"/>
    <w:rsid w:val="006D4756"/>
    <w:rsid w:val="006D5D3B"/>
    <w:rsid w:val="006E3F8E"/>
    <w:rsid w:val="006F2033"/>
    <w:rsid w:val="006F3605"/>
    <w:rsid w:val="00700055"/>
    <w:rsid w:val="00701875"/>
    <w:rsid w:val="007032F6"/>
    <w:rsid w:val="00703BFE"/>
    <w:rsid w:val="0070427D"/>
    <w:rsid w:val="00713156"/>
    <w:rsid w:val="0071652F"/>
    <w:rsid w:val="0073481D"/>
    <w:rsid w:val="007400D3"/>
    <w:rsid w:val="0074330D"/>
    <w:rsid w:val="00744326"/>
    <w:rsid w:val="007514EF"/>
    <w:rsid w:val="00752CA3"/>
    <w:rsid w:val="0076106D"/>
    <w:rsid w:val="007617CA"/>
    <w:rsid w:val="00761D43"/>
    <w:rsid w:val="007634BF"/>
    <w:rsid w:val="007703B6"/>
    <w:rsid w:val="007710FF"/>
    <w:rsid w:val="0077189A"/>
    <w:rsid w:val="00772CBD"/>
    <w:rsid w:val="00773553"/>
    <w:rsid w:val="007773AA"/>
    <w:rsid w:val="00784B30"/>
    <w:rsid w:val="007931D7"/>
    <w:rsid w:val="00794B87"/>
    <w:rsid w:val="00795FF4"/>
    <w:rsid w:val="007A06CD"/>
    <w:rsid w:val="007A1312"/>
    <w:rsid w:val="007A3BE5"/>
    <w:rsid w:val="007A4D09"/>
    <w:rsid w:val="007B66A8"/>
    <w:rsid w:val="007C22A5"/>
    <w:rsid w:val="007C3BC6"/>
    <w:rsid w:val="007C5197"/>
    <w:rsid w:val="007C59B9"/>
    <w:rsid w:val="007D04C6"/>
    <w:rsid w:val="007D5935"/>
    <w:rsid w:val="007E7478"/>
    <w:rsid w:val="007F228B"/>
    <w:rsid w:val="007F3899"/>
    <w:rsid w:val="007F427B"/>
    <w:rsid w:val="007F65EA"/>
    <w:rsid w:val="007F6BA9"/>
    <w:rsid w:val="00801D41"/>
    <w:rsid w:val="008039C9"/>
    <w:rsid w:val="00805171"/>
    <w:rsid w:val="00811250"/>
    <w:rsid w:val="008119B0"/>
    <w:rsid w:val="00815283"/>
    <w:rsid w:val="00830763"/>
    <w:rsid w:val="00832794"/>
    <w:rsid w:val="00832E0E"/>
    <w:rsid w:val="00833687"/>
    <w:rsid w:val="00844713"/>
    <w:rsid w:val="008465DF"/>
    <w:rsid w:val="00851ADE"/>
    <w:rsid w:val="008535BF"/>
    <w:rsid w:val="00853D2A"/>
    <w:rsid w:val="0085422C"/>
    <w:rsid w:val="00854FC0"/>
    <w:rsid w:val="008568BD"/>
    <w:rsid w:val="0086287A"/>
    <w:rsid w:val="00865828"/>
    <w:rsid w:val="00877301"/>
    <w:rsid w:val="00880FB8"/>
    <w:rsid w:val="008851B4"/>
    <w:rsid w:val="00891145"/>
    <w:rsid w:val="0089426C"/>
    <w:rsid w:val="00897D8B"/>
    <w:rsid w:val="008A0810"/>
    <w:rsid w:val="008A1BAB"/>
    <w:rsid w:val="008B296B"/>
    <w:rsid w:val="008B6FB5"/>
    <w:rsid w:val="008C073B"/>
    <w:rsid w:val="008D47EE"/>
    <w:rsid w:val="008D7496"/>
    <w:rsid w:val="008D78DA"/>
    <w:rsid w:val="008D793C"/>
    <w:rsid w:val="008E0125"/>
    <w:rsid w:val="008E064E"/>
    <w:rsid w:val="008E4916"/>
    <w:rsid w:val="008F1A1D"/>
    <w:rsid w:val="008F1C44"/>
    <w:rsid w:val="008F44AF"/>
    <w:rsid w:val="008F5EE9"/>
    <w:rsid w:val="0090182B"/>
    <w:rsid w:val="00902780"/>
    <w:rsid w:val="00902BE3"/>
    <w:rsid w:val="0090418B"/>
    <w:rsid w:val="0090459B"/>
    <w:rsid w:val="00904710"/>
    <w:rsid w:val="00906342"/>
    <w:rsid w:val="009102EF"/>
    <w:rsid w:val="00912963"/>
    <w:rsid w:val="00915143"/>
    <w:rsid w:val="00920A46"/>
    <w:rsid w:val="00924BBC"/>
    <w:rsid w:val="00926CB6"/>
    <w:rsid w:val="00931F5F"/>
    <w:rsid w:val="009342D9"/>
    <w:rsid w:val="009364D3"/>
    <w:rsid w:val="0093760B"/>
    <w:rsid w:val="00941A9D"/>
    <w:rsid w:val="0094202D"/>
    <w:rsid w:val="00944DE6"/>
    <w:rsid w:val="009461DD"/>
    <w:rsid w:val="0095090A"/>
    <w:rsid w:val="00951AE1"/>
    <w:rsid w:val="009524BB"/>
    <w:rsid w:val="00954A77"/>
    <w:rsid w:val="0096000F"/>
    <w:rsid w:val="00962D1C"/>
    <w:rsid w:val="0096774B"/>
    <w:rsid w:val="00972515"/>
    <w:rsid w:val="0097460B"/>
    <w:rsid w:val="00974860"/>
    <w:rsid w:val="009819B1"/>
    <w:rsid w:val="00986D68"/>
    <w:rsid w:val="009874DF"/>
    <w:rsid w:val="009949EE"/>
    <w:rsid w:val="00996EB2"/>
    <w:rsid w:val="00997E79"/>
    <w:rsid w:val="009A65D8"/>
    <w:rsid w:val="009A6B0F"/>
    <w:rsid w:val="009B3E23"/>
    <w:rsid w:val="009B5127"/>
    <w:rsid w:val="009B5926"/>
    <w:rsid w:val="009C0684"/>
    <w:rsid w:val="009C5034"/>
    <w:rsid w:val="009D0F3C"/>
    <w:rsid w:val="009D1CFA"/>
    <w:rsid w:val="009D402D"/>
    <w:rsid w:val="009E4764"/>
    <w:rsid w:val="009E531D"/>
    <w:rsid w:val="009F374D"/>
    <w:rsid w:val="009F382F"/>
    <w:rsid w:val="009F3B35"/>
    <w:rsid w:val="009F3BAA"/>
    <w:rsid w:val="009F57E5"/>
    <w:rsid w:val="009F6C74"/>
    <w:rsid w:val="009F7014"/>
    <w:rsid w:val="009F7D57"/>
    <w:rsid w:val="00A02FDD"/>
    <w:rsid w:val="00A03995"/>
    <w:rsid w:val="00A07BDD"/>
    <w:rsid w:val="00A11C02"/>
    <w:rsid w:val="00A137DF"/>
    <w:rsid w:val="00A13E8F"/>
    <w:rsid w:val="00A17247"/>
    <w:rsid w:val="00A17D22"/>
    <w:rsid w:val="00A23016"/>
    <w:rsid w:val="00A25643"/>
    <w:rsid w:val="00A2689D"/>
    <w:rsid w:val="00A279B1"/>
    <w:rsid w:val="00A279DD"/>
    <w:rsid w:val="00A27D87"/>
    <w:rsid w:val="00A305AC"/>
    <w:rsid w:val="00A34422"/>
    <w:rsid w:val="00A36CC5"/>
    <w:rsid w:val="00A36D46"/>
    <w:rsid w:val="00A36ECE"/>
    <w:rsid w:val="00A37F5C"/>
    <w:rsid w:val="00A472C2"/>
    <w:rsid w:val="00A47386"/>
    <w:rsid w:val="00A518F6"/>
    <w:rsid w:val="00A52268"/>
    <w:rsid w:val="00A60BE2"/>
    <w:rsid w:val="00A61E6D"/>
    <w:rsid w:val="00A6413E"/>
    <w:rsid w:val="00A67D8F"/>
    <w:rsid w:val="00A75E99"/>
    <w:rsid w:val="00A864F2"/>
    <w:rsid w:val="00A92238"/>
    <w:rsid w:val="00A939A1"/>
    <w:rsid w:val="00A970BD"/>
    <w:rsid w:val="00A979E3"/>
    <w:rsid w:val="00AA1D2E"/>
    <w:rsid w:val="00AA2B30"/>
    <w:rsid w:val="00AA323B"/>
    <w:rsid w:val="00AA5A97"/>
    <w:rsid w:val="00AB39FA"/>
    <w:rsid w:val="00AB3B59"/>
    <w:rsid w:val="00AB4240"/>
    <w:rsid w:val="00AB4CD7"/>
    <w:rsid w:val="00AB6518"/>
    <w:rsid w:val="00AB6E1A"/>
    <w:rsid w:val="00AB7068"/>
    <w:rsid w:val="00AC1C17"/>
    <w:rsid w:val="00AD1157"/>
    <w:rsid w:val="00AD2776"/>
    <w:rsid w:val="00AE398A"/>
    <w:rsid w:val="00AF327F"/>
    <w:rsid w:val="00B02178"/>
    <w:rsid w:val="00B03307"/>
    <w:rsid w:val="00B03FFE"/>
    <w:rsid w:val="00B1349F"/>
    <w:rsid w:val="00B1399F"/>
    <w:rsid w:val="00B15414"/>
    <w:rsid w:val="00B16964"/>
    <w:rsid w:val="00B16DFF"/>
    <w:rsid w:val="00B21F1A"/>
    <w:rsid w:val="00B243DB"/>
    <w:rsid w:val="00B24CBF"/>
    <w:rsid w:val="00B40219"/>
    <w:rsid w:val="00B41FB3"/>
    <w:rsid w:val="00B455A7"/>
    <w:rsid w:val="00B47203"/>
    <w:rsid w:val="00B47D39"/>
    <w:rsid w:val="00B53294"/>
    <w:rsid w:val="00B62112"/>
    <w:rsid w:val="00B629AE"/>
    <w:rsid w:val="00B6354E"/>
    <w:rsid w:val="00B641CA"/>
    <w:rsid w:val="00B64245"/>
    <w:rsid w:val="00B645F3"/>
    <w:rsid w:val="00B64EFE"/>
    <w:rsid w:val="00B6500D"/>
    <w:rsid w:val="00B73371"/>
    <w:rsid w:val="00B93E50"/>
    <w:rsid w:val="00B94821"/>
    <w:rsid w:val="00BA10EA"/>
    <w:rsid w:val="00BA1B0E"/>
    <w:rsid w:val="00BA2BC7"/>
    <w:rsid w:val="00BB0672"/>
    <w:rsid w:val="00BB0C34"/>
    <w:rsid w:val="00BC1C30"/>
    <w:rsid w:val="00BC42E3"/>
    <w:rsid w:val="00BC5D30"/>
    <w:rsid w:val="00BC7DA0"/>
    <w:rsid w:val="00BC7E88"/>
    <w:rsid w:val="00BD32AE"/>
    <w:rsid w:val="00BD4197"/>
    <w:rsid w:val="00BD51B0"/>
    <w:rsid w:val="00BE045A"/>
    <w:rsid w:val="00BE086C"/>
    <w:rsid w:val="00BE12E6"/>
    <w:rsid w:val="00BE1338"/>
    <w:rsid w:val="00BF3847"/>
    <w:rsid w:val="00BF5B2C"/>
    <w:rsid w:val="00BF7D46"/>
    <w:rsid w:val="00C013FF"/>
    <w:rsid w:val="00C02F20"/>
    <w:rsid w:val="00C0593E"/>
    <w:rsid w:val="00C0656C"/>
    <w:rsid w:val="00C06729"/>
    <w:rsid w:val="00C06806"/>
    <w:rsid w:val="00C119AA"/>
    <w:rsid w:val="00C130B1"/>
    <w:rsid w:val="00C15CC0"/>
    <w:rsid w:val="00C16DA9"/>
    <w:rsid w:val="00C23878"/>
    <w:rsid w:val="00C25BBB"/>
    <w:rsid w:val="00C30965"/>
    <w:rsid w:val="00C32B66"/>
    <w:rsid w:val="00C332BD"/>
    <w:rsid w:val="00C35D5D"/>
    <w:rsid w:val="00C371B2"/>
    <w:rsid w:val="00C51ABB"/>
    <w:rsid w:val="00C5226B"/>
    <w:rsid w:val="00C52A36"/>
    <w:rsid w:val="00C60776"/>
    <w:rsid w:val="00C61A72"/>
    <w:rsid w:val="00C67A48"/>
    <w:rsid w:val="00C71B8A"/>
    <w:rsid w:val="00C7215D"/>
    <w:rsid w:val="00C72279"/>
    <w:rsid w:val="00C72B59"/>
    <w:rsid w:val="00C74834"/>
    <w:rsid w:val="00C7686C"/>
    <w:rsid w:val="00C822F1"/>
    <w:rsid w:val="00C938BC"/>
    <w:rsid w:val="00C942CA"/>
    <w:rsid w:val="00CA20F5"/>
    <w:rsid w:val="00CA2248"/>
    <w:rsid w:val="00CA54A7"/>
    <w:rsid w:val="00CA735A"/>
    <w:rsid w:val="00CB0180"/>
    <w:rsid w:val="00CB0F33"/>
    <w:rsid w:val="00CB38C8"/>
    <w:rsid w:val="00CB63EC"/>
    <w:rsid w:val="00CC23D7"/>
    <w:rsid w:val="00CD6B2F"/>
    <w:rsid w:val="00CD7282"/>
    <w:rsid w:val="00CE1132"/>
    <w:rsid w:val="00CE2D6B"/>
    <w:rsid w:val="00CE2E4B"/>
    <w:rsid w:val="00CF626A"/>
    <w:rsid w:val="00D012DF"/>
    <w:rsid w:val="00D11A25"/>
    <w:rsid w:val="00D13F54"/>
    <w:rsid w:val="00D17E73"/>
    <w:rsid w:val="00D23CD3"/>
    <w:rsid w:val="00D24170"/>
    <w:rsid w:val="00D3231B"/>
    <w:rsid w:val="00D3317B"/>
    <w:rsid w:val="00D344F2"/>
    <w:rsid w:val="00D35EE1"/>
    <w:rsid w:val="00D40759"/>
    <w:rsid w:val="00D4476B"/>
    <w:rsid w:val="00D530C6"/>
    <w:rsid w:val="00D57D2E"/>
    <w:rsid w:val="00D60728"/>
    <w:rsid w:val="00D613D6"/>
    <w:rsid w:val="00D63082"/>
    <w:rsid w:val="00D66ED6"/>
    <w:rsid w:val="00D70506"/>
    <w:rsid w:val="00D705BE"/>
    <w:rsid w:val="00D75973"/>
    <w:rsid w:val="00D75994"/>
    <w:rsid w:val="00D7685D"/>
    <w:rsid w:val="00D80C42"/>
    <w:rsid w:val="00D81A2E"/>
    <w:rsid w:val="00D8250D"/>
    <w:rsid w:val="00D834CA"/>
    <w:rsid w:val="00D856EF"/>
    <w:rsid w:val="00D85F0F"/>
    <w:rsid w:val="00D86B11"/>
    <w:rsid w:val="00D87588"/>
    <w:rsid w:val="00D92E14"/>
    <w:rsid w:val="00D9358E"/>
    <w:rsid w:val="00D96F17"/>
    <w:rsid w:val="00DA20BE"/>
    <w:rsid w:val="00DA2BE3"/>
    <w:rsid w:val="00DA388E"/>
    <w:rsid w:val="00DA3DC7"/>
    <w:rsid w:val="00DB1C03"/>
    <w:rsid w:val="00DB3B14"/>
    <w:rsid w:val="00DB4A04"/>
    <w:rsid w:val="00DB753F"/>
    <w:rsid w:val="00DC1EC6"/>
    <w:rsid w:val="00DC4CCD"/>
    <w:rsid w:val="00DC66D0"/>
    <w:rsid w:val="00DD0F3B"/>
    <w:rsid w:val="00DD19DE"/>
    <w:rsid w:val="00DD3671"/>
    <w:rsid w:val="00DD580E"/>
    <w:rsid w:val="00DD643F"/>
    <w:rsid w:val="00DD7E45"/>
    <w:rsid w:val="00DE2523"/>
    <w:rsid w:val="00DE2E8F"/>
    <w:rsid w:val="00DE6BB8"/>
    <w:rsid w:val="00DF1733"/>
    <w:rsid w:val="00DF1A6F"/>
    <w:rsid w:val="00DF6503"/>
    <w:rsid w:val="00E002B8"/>
    <w:rsid w:val="00E20247"/>
    <w:rsid w:val="00E21B43"/>
    <w:rsid w:val="00E3307D"/>
    <w:rsid w:val="00E3739B"/>
    <w:rsid w:val="00E37ADC"/>
    <w:rsid w:val="00E40DBE"/>
    <w:rsid w:val="00E4188A"/>
    <w:rsid w:val="00E44136"/>
    <w:rsid w:val="00E45B34"/>
    <w:rsid w:val="00E5575E"/>
    <w:rsid w:val="00E5684D"/>
    <w:rsid w:val="00E6582E"/>
    <w:rsid w:val="00E70A7C"/>
    <w:rsid w:val="00E746CE"/>
    <w:rsid w:val="00E774C2"/>
    <w:rsid w:val="00E77679"/>
    <w:rsid w:val="00E77C97"/>
    <w:rsid w:val="00E80C04"/>
    <w:rsid w:val="00E82663"/>
    <w:rsid w:val="00E918D7"/>
    <w:rsid w:val="00E91C17"/>
    <w:rsid w:val="00E92790"/>
    <w:rsid w:val="00EA0808"/>
    <w:rsid w:val="00EA1592"/>
    <w:rsid w:val="00EA191A"/>
    <w:rsid w:val="00EA2EB3"/>
    <w:rsid w:val="00EA3AAF"/>
    <w:rsid w:val="00EA740E"/>
    <w:rsid w:val="00EB466F"/>
    <w:rsid w:val="00EB4AFB"/>
    <w:rsid w:val="00EC23F7"/>
    <w:rsid w:val="00EC3F2C"/>
    <w:rsid w:val="00EC4497"/>
    <w:rsid w:val="00EC53F5"/>
    <w:rsid w:val="00ED282B"/>
    <w:rsid w:val="00ED522E"/>
    <w:rsid w:val="00EE2FEC"/>
    <w:rsid w:val="00EF04B2"/>
    <w:rsid w:val="00EF0F18"/>
    <w:rsid w:val="00EF113C"/>
    <w:rsid w:val="00EF171E"/>
    <w:rsid w:val="00EF1ECC"/>
    <w:rsid w:val="00EF2A2F"/>
    <w:rsid w:val="00EF4BE5"/>
    <w:rsid w:val="00EF6BCF"/>
    <w:rsid w:val="00F0119A"/>
    <w:rsid w:val="00F025D7"/>
    <w:rsid w:val="00F0398B"/>
    <w:rsid w:val="00F041EF"/>
    <w:rsid w:val="00F071F0"/>
    <w:rsid w:val="00F110B0"/>
    <w:rsid w:val="00F112A2"/>
    <w:rsid w:val="00F1240C"/>
    <w:rsid w:val="00F13CBF"/>
    <w:rsid w:val="00F1640D"/>
    <w:rsid w:val="00F20952"/>
    <w:rsid w:val="00F2097D"/>
    <w:rsid w:val="00F2100D"/>
    <w:rsid w:val="00F21CD7"/>
    <w:rsid w:val="00F26C3E"/>
    <w:rsid w:val="00F30263"/>
    <w:rsid w:val="00F30F88"/>
    <w:rsid w:val="00F34684"/>
    <w:rsid w:val="00F44A69"/>
    <w:rsid w:val="00F46C12"/>
    <w:rsid w:val="00F60D75"/>
    <w:rsid w:val="00F7265C"/>
    <w:rsid w:val="00F72D73"/>
    <w:rsid w:val="00F744C4"/>
    <w:rsid w:val="00F777A9"/>
    <w:rsid w:val="00F822CB"/>
    <w:rsid w:val="00F82472"/>
    <w:rsid w:val="00F86CDF"/>
    <w:rsid w:val="00F9148D"/>
    <w:rsid w:val="00F92BFD"/>
    <w:rsid w:val="00F95545"/>
    <w:rsid w:val="00FA3C03"/>
    <w:rsid w:val="00FA4383"/>
    <w:rsid w:val="00FC0260"/>
    <w:rsid w:val="00FC1091"/>
    <w:rsid w:val="00FD048F"/>
    <w:rsid w:val="00FD39F0"/>
    <w:rsid w:val="00FD52E2"/>
    <w:rsid w:val="00FD7D46"/>
    <w:rsid w:val="00FE3A99"/>
    <w:rsid w:val="00FE5CB7"/>
    <w:rsid w:val="00FF3B8B"/>
    <w:rsid w:val="00FF42B8"/>
    <w:rsid w:val="00FF5423"/>
    <w:rsid w:val="0AB8C04F"/>
    <w:rsid w:val="225F3EC4"/>
    <w:rsid w:val="2304C69C"/>
    <w:rsid w:val="37D9C258"/>
    <w:rsid w:val="39E0FE53"/>
    <w:rsid w:val="462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6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6BA9"/>
  </w:style>
  <w:style w:type="paragraph" w:customStyle="1" w:styleId="paragraph">
    <w:name w:val="paragraph"/>
    <w:basedOn w:val="Normal"/>
    <w:rsid w:val="00DB7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B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7F81C-39C3-47F3-8119-80DC896C16F1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4.xml><?xml version="1.0" encoding="utf-8"?>
<ds:datastoreItem xmlns:ds="http://schemas.openxmlformats.org/officeDocument/2006/customXml" ds:itemID="{B4870767-9443-4265-91A5-1744BBE3E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Jim Woods (JWoods)</cp:lastModifiedBy>
  <cp:revision>3</cp:revision>
  <cp:lastPrinted>2022-09-09T09:10:00Z</cp:lastPrinted>
  <dcterms:created xsi:type="dcterms:W3CDTF">2025-04-09T12:09:00Z</dcterms:created>
  <dcterms:modified xsi:type="dcterms:W3CDTF">2025-04-09T12:23:00Z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MediaServiceImageTags">
    <vt:lpwstr/>
  </property>
</Properties>
</file>