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5EF8" w14:textId="1577BC2A" w:rsidR="0079204B" w:rsidRPr="00C42CC6" w:rsidRDefault="0079204B">
      <w:pPr>
        <w:rPr>
          <w:b/>
          <w:bCs/>
        </w:rPr>
      </w:pPr>
      <w:r w:rsidRPr="00C42CC6">
        <w:rPr>
          <w:b/>
          <w:bCs/>
        </w:rPr>
        <w:t xml:space="preserve">Equality Screening conducted by Belfast Met from 1 January 2023 to </w:t>
      </w:r>
      <w:r w:rsidR="00C42CC6" w:rsidRPr="00C42CC6">
        <w:rPr>
          <w:b/>
          <w:bCs/>
        </w:rPr>
        <w:t>31 December 2024</w:t>
      </w:r>
    </w:p>
    <w:tbl>
      <w:tblPr>
        <w:tblStyle w:val="TableGrid"/>
        <w:tblW w:w="15027" w:type="dxa"/>
        <w:tblInd w:w="-431" w:type="dxa"/>
        <w:tblLook w:val="04A0" w:firstRow="1" w:lastRow="0" w:firstColumn="1" w:lastColumn="0" w:noHBand="0" w:noVBand="1"/>
        <w:tblCaption w:val="Policy Screening Table 2022"/>
        <w:tblDescription w:val="Table sets out all the policies eqality screened in 2022"/>
      </w:tblPr>
      <w:tblGrid>
        <w:gridCol w:w="1844"/>
        <w:gridCol w:w="6520"/>
        <w:gridCol w:w="1418"/>
        <w:gridCol w:w="1559"/>
        <w:gridCol w:w="1843"/>
        <w:gridCol w:w="1843"/>
      </w:tblGrid>
      <w:tr w:rsidR="003170E2" w:rsidRPr="008E1E5D" w14:paraId="250737ED" w14:textId="77777777" w:rsidTr="00C66EFB">
        <w:tc>
          <w:tcPr>
            <w:tcW w:w="1844" w:type="dxa"/>
          </w:tcPr>
          <w:p w14:paraId="2F9FFAD8" w14:textId="2393613E" w:rsidR="003170E2" w:rsidRPr="008E1E5D" w:rsidRDefault="003170E2" w:rsidP="008E1E5D">
            <w:pPr>
              <w:jc w:val="center"/>
              <w:rPr>
                <w:b/>
                <w:bCs/>
              </w:rPr>
            </w:pPr>
            <w:r>
              <w:rPr>
                <w:b/>
                <w:bCs/>
              </w:rPr>
              <w:t>Policy Name</w:t>
            </w:r>
          </w:p>
        </w:tc>
        <w:tc>
          <w:tcPr>
            <w:tcW w:w="6520" w:type="dxa"/>
          </w:tcPr>
          <w:p w14:paraId="2766F4BB" w14:textId="10C05140" w:rsidR="003170E2" w:rsidRPr="008E1E5D" w:rsidRDefault="003170E2" w:rsidP="008E1E5D">
            <w:pPr>
              <w:jc w:val="center"/>
              <w:rPr>
                <w:b/>
                <w:bCs/>
              </w:rPr>
            </w:pPr>
            <w:r>
              <w:rPr>
                <w:b/>
                <w:bCs/>
              </w:rPr>
              <w:t>Policy Description</w:t>
            </w:r>
          </w:p>
        </w:tc>
        <w:tc>
          <w:tcPr>
            <w:tcW w:w="1418" w:type="dxa"/>
          </w:tcPr>
          <w:p w14:paraId="63244454" w14:textId="50580966" w:rsidR="003170E2" w:rsidRDefault="00E20A56" w:rsidP="008E1E5D">
            <w:pPr>
              <w:jc w:val="center"/>
              <w:rPr>
                <w:b/>
                <w:bCs/>
              </w:rPr>
            </w:pPr>
            <w:r>
              <w:rPr>
                <w:b/>
                <w:bCs/>
              </w:rPr>
              <w:t>Revised or New Policy</w:t>
            </w:r>
          </w:p>
        </w:tc>
        <w:tc>
          <w:tcPr>
            <w:tcW w:w="1559" w:type="dxa"/>
          </w:tcPr>
          <w:p w14:paraId="20348AEA" w14:textId="1A41A359" w:rsidR="003170E2" w:rsidRDefault="003170E2" w:rsidP="008E1E5D">
            <w:pPr>
              <w:jc w:val="center"/>
              <w:rPr>
                <w:b/>
                <w:bCs/>
              </w:rPr>
            </w:pPr>
            <w:r>
              <w:rPr>
                <w:b/>
                <w:bCs/>
              </w:rPr>
              <w:t>Sector Policy</w:t>
            </w:r>
          </w:p>
          <w:p w14:paraId="33C76F9E" w14:textId="06372682" w:rsidR="003170E2" w:rsidRPr="008E1E5D" w:rsidRDefault="003170E2" w:rsidP="008E1E5D">
            <w:pPr>
              <w:jc w:val="center"/>
              <w:rPr>
                <w:b/>
                <w:bCs/>
              </w:rPr>
            </w:pPr>
            <w:r>
              <w:rPr>
                <w:b/>
                <w:bCs/>
              </w:rPr>
              <w:t>(Yes/No)</w:t>
            </w:r>
          </w:p>
        </w:tc>
        <w:tc>
          <w:tcPr>
            <w:tcW w:w="1843" w:type="dxa"/>
          </w:tcPr>
          <w:p w14:paraId="0511D765" w14:textId="348114D2" w:rsidR="003170E2" w:rsidRPr="008E1E5D" w:rsidRDefault="003170E2" w:rsidP="008E1E5D">
            <w:pPr>
              <w:jc w:val="center"/>
              <w:rPr>
                <w:b/>
                <w:bCs/>
              </w:rPr>
            </w:pPr>
            <w:r>
              <w:rPr>
                <w:b/>
                <w:bCs/>
              </w:rPr>
              <w:t>Equality Screening Date</w:t>
            </w:r>
          </w:p>
        </w:tc>
        <w:tc>
          <w:tcPr>
            <w:tcW w:w="1843" w:type="dxa"/>
          </w:tcPr>
          <w:p w14:paraId="1880ECC0" w14:textId="17689E73" w:rsidR="003170E2" w:rsidRPr="008E1E5D" w:rsidRDefault="003170E2" w:rsidP="008E1E5D">
            <w:pPr>
              <w:jc w:val="center"/>
              <w:rPr>
                <w:b/>
                <w:bCs/>
              </w:rPr>
            </w:pPr>
            <w:r>
              <w:rPr>
                <w:b/>
                <w:bCs/>
              </w:rPr>
              <w:t>Equality Screening Outcome</w:t>
            </w:r>
          </w:p>
        </w:tc>
      </w:tr>
      <w:tr w:rsidR="003170E2" w14:paraId="52D36078" w14:textId="77777777" w:rsidTr="00C66EFB">
        <w:tc>
          <w:tcPr>
            <w:tcW w:w="1844" w:type="dxa"/>
          </w:tcPr>
          <w:p w14:paraId="20F93F17" w14:textId="283CA1D0" w:rsidR="003170E2" w:rsidRDefault="00D8126A">
            <w:r>
              <w:t xml:space="preserve">Annual </w:t>
            </w:r>
            <w:r w:rsidR="00544BDB">
              <w:t>Fees and Charges Policy 2023</w:t>
            </w:r>
          </w:p>
        </w:tc>
        <w:tc>
          <w:tcPr>
            <w:tcW w:w="6520" w:type="dxa"/>
          </w:tcPr>
          <w:p w14:paraId="3FFAA2DC" w14:textId="77777777" w:rsidR="00C308A3" w:rsidRPr="00C308A3" w:rsidRDefault="00C308A3" w:rsidP="00C308A3">
            <w:pPr>
              <w:rPr>
                <w:rFonts w:ascii="Calibri" w:eastAsia="Times New Roman" w:hAnsi="Calibri" w:cs="Calibri"/>
                <w:sz w:val="24"/>
                <w:szCs w:val="20"/>
              </w:rPr>
            </w:pPr>
            <w:r w:rsidRPr="00C308A3">
              <w:rPr>
                <w:rFonts w:ascii="Calibri" w:eastAsia="Times New Roman" w:hAnsi="Calibri" w:cs="Calibri"/>
                <w:sz w:val="24"/>
                <w:szCs w:val="20"/>
              </w:rPr>
              <w:t>The aim of this policy is to establish guidelines by which fees and charges may be levied for the provision of appropriate educational facilities and services. The College will therefore be able to recoup a reasonable proportion of expenditure while acting in a fair and equitable manner towards existing and prospective students and other customers. The policy is subject to an annual review.</w:t>
            </w:r>
          </w:p>
          <w:p w14:paraId="0D46B940" w14:textId="77777777" w:rsidR="00C308A3" w:rsidRPr="00C308A3" w:rsidRDefault="00C308A3" w:rsidP="00C308A3">
            <w:pPr>
              <w:rPr>
                <w:rFonts w:ascii="Calibri" w:eastAsia="Times New Roman" w:hAnsi="Calibri" w:cs="Calibri"/>
                <w:sz w:val="24"/>
                <w:szCs w:val="20"/>
              </w:rPr>
            </w:pPr>
          </w:p>
          <w:p w14:paraId="6D3D923B" w14:textId="77777777" w:rsidR="00C308A3" w:rsidRPr="00C308A3" w:rsidRDefault="00C308A3" w:rsidP="00C308A3">
            <w:pPr>
              <w:rPr>
                <w:rFonts w:ascii="Calibri" w:eastAsia="Times New Roman" w:hAnsi="Calibri" w:cs="Calibri"/>
                <w:sz w:val="24"/>
                <w:szCs w:val="20"/>
              </w:rPr>
            </w:pPr>
            <w:r w:rsidRPr="00C308A3">
              <w:rPr>
                <w:rFonts w:ascii="Calibri" w:eastAsia="Times New Roman" w:hAnsi="Calibri" w:cs="Calibri"/>
                <w:sz w:val="24"/>
                <w:szCs w:val="20"/>
              </w:rPr>
              <w:t>The policy is restricted to those facilities and services where the College is able to operate some discretion in the levying of charges. Therefore, the policy does not relate to the following:</w:t>
            </w:r>
          </w:p>
          <w:p w14:paraId="6E1FD44C" w14:textId="77777777" w:rsidR="00C308A3" w:rsidRPr="00C308A3" w:rsidRDefault="00C308A3" w:rsidP="00C308A3">
            <w:pPr>
              <w:numPr>
                <w:ilvl w:val="0"/>
                <w:numId w:val="1"/>
              </w:numPr>
              <w:ind w:right="115"/>
              <w:contextualSpacing/>
              <w:jc w:val="both"/>
              <w:rPr>
                <w:rFonts w:ascii="Calibri" w:eastAsia="Times New Roman" w:hAnsi="Calibri" w:cs="Calibri"/>
                <w:sz w:val="24"/>
                <w:szCs w:val="20"/>
              </w:rPr>
            </w:pPr>
            <w:r w:rsidRPr="00C308A3">
              <w:rPr>
                <w:rFonts w:ascii="Calibri" w:eastAsia="Times New Roman" w:hAnsi="Calibri" w:cs="Calibri"/>
                <w:sz w:val="24"/>
                <w:szCs w:val="20"/>
              </w:rPr>
              <w:t xml:space="preserve">Any subsidies, bursaries or exemptions as offered by the Department for the </w:t>
            </w:r>
          </w:p>
          <w:p w14:paraId="562052FB" w14:textId="77777777" w:rsidR="00C308A3" w:rsidRPr="00C308A3" w:rsidRDefault="00C308A3" w:rsidP="00C308A3">
            <w:pPr>
              <w:numPr>
                <w:ilvl w:val="0"/>
                <w:numId w:val="1"/>
              </w:numPr>
              <w:ind w:right="115"/>
              <w:contextualSpacing/>
              <w:jc w:val="both"/>
              <w:rPr>
                <w:rFonts w:ascii="Calibri" w:eastAsia="Times New Roman" w:hAnsi="Calibri" w:cs="Calibri"/>
                <w:sz w:val="24"/>
                <w:szCs w:val="20"/>
              </w:rPr>
            </w:pPr>
            <w:r w:rsidRPr="00C308A3">
              <w:rPr>
                <w:rFonts w:ascii="Calibri" w:eastAsia="Times New Roman" w:hAnsi="Calibri" w:cs="Calibri"/>
                <w:sz w:val="24"/>
                <w:szCs w:val="20"/>
              </w:rPr>
              <w:t>Economy (DfE), any other government agency or private benefactor;</w:t>
            </w:r>
          </w:p>
          <w:p w14:paraId="311C4C43" w14:textId="77777777" w:rsidR="00C308A3" w:rsidRPr="00C308A3" w:rsidRDefault="00C308A3" w:rsidP="00C308A3">
            <w:pPr>
              <w:numPr>
                <w:ilvl w:val="0"/>
                <w:numId w:val="1"/>
              </w:numPr>
              <w:ind w:right="115"/>
              <w:contextualSpacing/>
              <w:jc w:val="both"/>
              <w:rPr>
                <w:rFonts w:ascii="Calibri" w:eastAsia="Times New Roman" w:hAnsi="Calibri" w:cs="Calibri"/>
                <w:sz w:val="24"/>
                <w:szCs w:val="20"/>
              </w:rPr>
            </w:pPr>
            <w:r w:rsidRPr="00C308A3">
              <w:rPr>
                <w:rFonts w:ascii="Calibri" w:eastAsia="Times New Roman" w:hAnsi="Calibri" w:cs="Calibri"/>
                <w:sz w:val="24"/>
                <w:szCs w:val="20"/>
              </w:rPr>
              <w:t>Examination fees as charged by Awarding Bodies;</w:t>
            </w:r>
          </w:p>
          <w:p w14:paraId="25A68174" w14:textId="77777777" w:rsidR="00C308A3" w:rsidRPr="00C308A3" w:rsidRDefault="00C308A3" w:rsidP="00C308A3">
            <w:pPr>
              <w:numPr>
                <w:ilvl w:val="0"/>
                <w:numId w:val="1"/>
              </w:numPr>
              <w:ind w:right="115"/>
              <w:contextualSpacing/>
              <w:jc w:val="both"/>
              <w:rPr>
                <w:rFonts w:ascii="Calibri" w:eastAsia="Times New Roman" w:hAnsi="Calibri" w:cs="Calibri"/>
                <w:sz w:val="24"/>
                <w:szCs w:val="20"/>
              </w:rPr>
            </w:pPr>
            <w:r w:rsidRPr="00C308A3">
              <w:rPr>
                <w:rFonts w:ascii="Calibri" w:eastAsia="Times New Roman" w:hAnsi="Calibri" w:cs="Calibri"/>
                <w:sz w:val="24"/>
                <w:szCs w:val="20"/>
              </w:rPr>
              <w:t xml:space="preserve">Financial support packages for students; </w:t>
            </w:r>
          </w:p>
          <w:p w14:paraId="7FC1142E" w14:textId="77777777" w:rsidR="00C308A3" w:rsidRPr="00C308A3" w:rsidRDefault="00C308A3" w:rsidP="00C308A3">
            <w:pPr>
              <w:numPr>
                <w:ilvl w:val="0"/>
                <w:numId w:val="1"/>
              </w:numPr>
              <w:ind w:right="115"/>
              <w:contextualSpacing/>
              <w:jc w:val="both"/>
              <w:rPr>
                <w:rFonts w:ascii="Calibri" w:eastAsia="Times New Roman" w:hAnsi="Calibri" w:cs="Calibri"/>
                <w:sz w:val="24"/>
                <w:szCs w:val="20"/>
              </w:rPr>
            </w:pPr>
            <w:r w:rsidRPr="00C308A3">
              <w:rPr>
                <w:rFonts w:ascii="Calibri" w:eastAsia="Times New Roman" w:hAnsi="Calibri" w:cs="Calibri"/>
                <w:sz w:val="24"/>
                <w:szCs w:val="20"/>
              </w:rPr>
              <w:t xml:space="preserve">Loans and grants as made available from the Student Loan Company or </w:t>
            </w:r>
          </w:p>
          <w:p w14:paraId="2D302F22" w14:textId="77777777" w:rsidR="00C308A3" w:rsidRPr="00C308A3" w:rsidRDefault="00C308A3" w:rsidP="00C308A3">
            <w:pPr>
              <w:ind w:left="432"/>
              <w:rPr>
                <w:rFonts w:ascii="Calibri" w:eastAsia="Times New Roman" w:hAnsi="Calibri" w:cs="Calibri"/>
                <w:sz w:val="24"/>
                <w:szCs w:val="20"/>
              </w:rPr>
            </w:pPr>
            <w:r w:rsidRPr="00C308A3">
              <w:rPr>
                <w:rFonts w:ascii="Calibri" w:eastAsia="Times New Roman" w:hAnsi="Calibri" w:cs="Calibri"/>
                <w:sz w:val="24"/>
                <w:szCs w:val="20"/>
              </w:rPr>
              <w:t xml:space="preserve">     </w:t>
            </w:r>
            <w:r w:rsidRPr="00C308A3">
              <w:rPr>
                <w:rFonts w:ascii="Calibri" w:eastAsia="Times New Roman" w:hAnsi="Calibri" w:cs="Calibri"/>
                <w:sz w:val="24"/>
                <w:szCs w:val="20"/>
              </w:rPr>
              <w:tab/>
            </w:r>
            <w:r w:rsidRPr="00C308A3">
              <w:rPr>
                <w:rFonts w:ascii="Calibri" w:eastAsia="Times New Roman" w:hAnsi="Calibri" w:cs="Calibri"/>
                <w:sz w:val="24"/>
                <w:szCs w:val="20"/>
              </w:rPr>
              <w:tab/>
              <w:t>Education Authorities</w:t>
            </w:r>
          </w:p>
          <w:p w14:paraId="14F60D7B" w14:textId="0E675512" w:rsidR="003170E2" w:rsidRDefault="003170E2"/>
        </w:tc>
        <w:tc>
          <w:tcPr>
            <w:tcW w:w="1418" w:type="dxa"/>
          </w:tcPr>
          <w:p w14:paraId="47E8168A" w14:textId="025B4131" w:rsidR="003170E2" w:rsidRDefault="00D8126A" w:rsidP="008E1E5D">
            <w:pPr>
              <w:jc w:val="center"/>
            </w:pPr>
            <w:r>
              <w:t>New</w:t>
            </w:r>
          </w:p>
        </w:tc>
        <w:tc>
          <w:tcPr>
            <w:tcW w:w="1559" w:type="dxa"/>
          </w:tcPr>
          <w:p w14:paraId="3E6FDD08" w14:textId="7F462CBB" w:rsidR="003170E2" w:rsidRDefault="00C308A3" w:rsidP="008E1E5D">
            <w:pPr>
              <w:jc w:val="center"/>
            </w:pPr>
            <w:r>
              <w:t>No</w:t>
            </w:r>
          </w:p>
        </w:tc>
        <w:tc>
          <w:tcPr>
            <w:tcW w:w="1843" w:type="dxa"/>
          </w:tcPr>
          <w:p w14:paraId="647F6255" w14:textId="786202E7" w:rsidR="003170E2" w:rsidRDefault="00C308A3" w:rsidP="008E1E5D">
            <w:pPr>
              <w:jc w:val="center"/>
            </w:pPr>
            <w:r>
              <w:t>20 February 2023</w:t>
            </w:r>
          </w:p>
        </w:tc>
        <w:tc>
          <w:tcPr>
            <w:tcW w:w="1843" w:type="dxa"/>
          </w:tcPr>
          <w:p w14:paraId="1B02332D" w14:textId="77777777" w:rsidR="003170E2" w:rsidRDefault="00C308A3" w:rsidP="008E1E5D">
            <w:pPr>
              <w:jc w:val="center"/>
            </w:pPr>
            <w:r>
              <w:t>Screened Out</w:t>
            </w:r>
          </w:p>
          <w:p w14:paraId="38AAE290" w14:textId="77777777" w:rsidR="007833C9" w:rsidRDefault="007833C9" w:rsidP="008E1E5D">
            <w:pPr>
              <w:jc w:val="center"/>
            </w:pPr>
          </w:p>
          <w:p w14:paraId="05EC3C56" w14:textId="3D0E3AB7" w:rsidR="007833C9" w:rsidRDefault="00E76693" w:rsidP="008E1E5D">
            <w:pPr>
              <w:jc w:val="center"/>
            </w:pPr>
            <w:hyperlink r:id="rId8" w:history="1">
              <w:r w:rsidR="007833C9" w:rsidRPr="007833C9">
                <w:rPr>
                  <w:rStyle w:val="Hyperlink"/>
                </w:rPr>
                <w:t>View Screening Form</w:t>
              </w:r>
            </w:hyperlink>
          </w:p>
        </w:tc>
      </w:tr>
      <w:tr w:rsidR="003170E2" w14:paraId="7FD6A794" w14:textId="77777777" w:rsidTr="00C66EFB">
        <w:tc>
          <w:tcPr>
            <w:tcW w:w="1844" w:type="dxa"/>
          </w:tcPr>
          <w:p w14:paraId="1228C266" w14:textId="315CE8C8" w:rsidR="003170E2" w:rsidRDefault="00776C3D">
            <w:r>
              <w:t>Management of Policies in Belfast Met</w:t>
            </w:r>
          </w:p>
        </w:tc>
        <w:tc>
          <w:tcPr>
            <w:tcW w:w="6520" w:type="dxa"/>
          </w:tcPr>
          <w:p w14:paraId="40B67E9F" w14:textId="658685A9" w:rsidR="003170E2" w:rsidRDefault="00583FEF" w:rsidP="001E75BF">
            <w:r>
              <w:t>The aim of the policy is to provide a structure for the dev</w:t>
            </w:r>
            <w:r w:rsidR="00ED4280">
              <w:t xml:space="preserve">elopment, approval, dissemination and review of policies and other supporting documentation. </w:t>
            </w:r>
            <w:r w:rsidR="00016F35">
              <w:t xml:space="preserve">This will </w:t>
            </w:r>
            <w:r w:rsidR="00ED4280">
              <w:t>provide assurances to the Governing Body</w:t>
            </w:r>
            <w:r w:rsidR="00D80013">
              <w:t xml:space="preserve"> and key stakeholders that a robust policy and management system is in place for the lifecycle of policies. This </w:t>
            </w:r>
            <w:r w:rsidR="00951CE8">
              <w:t xml:space="preserve">will enable Belfast met to </w:t>
            </w:r>
            <w:r w:rsidR="00951CE8">
              <w:lastRenderedPageBreak/>
              <w:t>manage its business and resources, meet statutory and contractual obligations an</w:t>
            </w:r>
            <w:r w:rsidR="00C66EFB">
              <w:t>d</w:t>
            </w:r>
            <w:r w:rsidR="00951CE8">
              <w:t xml:space="preserve"> deliver effective services</w:t>
            </w:r>
            <w:r w:rsidR="00ED4280">
              <w:t xml:space="preserve"> </w:t>
            </w:r>
            <w:r w:rsidR="00C66EFB">
              <w:t>impartially and safely</w:t>
            </w:r>
          </w:p>
        </w:tc>
        <w:tc>
          <w:tcPr>
            <w:tcW w:w="1418" w:type="dxa"/>
          </w:tcPr>
          <w:p w14:paraId="28565A26" w14:textId="5B67309C" w:rsidR="003170E2" w:rsidRDefault="004A14A4" w:rsidP="008E1E5D">
            <w:pPr>
              <w:jc w:val="center"/>
            </w:pPr>
            <w:r>
              <w:lastRenderedPageBreak/>
              <w:t>New</w:t>
            </w:r>
          </w:p>
        </w:tc>
        <w:tc>
          <w:tcPr>
            <w:tcW w:w="1559" w:type="dxa"/>
          </w:tcPr>
          <w:p w14:paraId="3424831D" w14:textId="77D4722A" w:rsidR="003170E2" w:rsidRDefault="004A14A4" w:rsidP="008E1E5D">
            <w:pPr>
              <w:jc w:val="center"/>
            </w:pPr>
            <w:r>
              <w:t>No</w:t>
            </w:r>
          </w:p>
        </w:tc>
        <w:tc>
          <w:tcPr>
            <w:tcW w:w="1843" w:type="dxa"/>
          </w:tcPr>
          <w:p w14:paraId="77C6B1D8" w14:textId="2372101D" w:rsidR="003170E2" w:rsidRDefault="004A14A4" w:rsidP="008E1E5D">
            <w:pPr>
              <w:jc w:val="center"/>
            </w:pPr>
            <w:r>
              <w:t>21 April 2023</w:t>
            </w:r>
          </w:p>
        </w:tc>
        <w:tc>
          <w:tcPr>
            <w:tcW w:w="1843" w:type="dxa"/>
          </w:tcPr>
          <w:p w14:paraId="00AB71E4" w14:textId="77777777" w:rsidR="003170E2" w:rsidRDefault="004A14A4" w:rsidP="008E1E5D">
            <w:pPr>
              <w:jc w:val="center"/>
            </w:pPr>
            <w:r>
              <w:t>Screened Out</w:t>
            </w:r>
          </w:p>
          <w:p w14:paraId="7D9A7B60" w14:textId="77777777" w:rsidR="007833C9" w:rsidRDefault="007833C9" w:rsidP="008E1E5D">
            <w:pPr>
              <w:jc w:val="center"/>
            </w:pPr>
          </w:p>
          <w:p w14:paraId="1CA1A228" w14:textId="1110D737" w:rsidR="007833C9" w:rsidRDefault="00E76693" w:rsidP="008E1E5D">
            <w:pPr>
              <w:jc w:val="center"/>
            </w:pPr>
            <w:hyperlink r:id="rId9" w:history="1">
              <w:r w:rsidR="007833C9" w:rsidRPr="007833C9">
                <w:rPr>
                  <w:rStyle w:val="Hyperlink"/>
                </w:rPr>
                <w:t>View Screening Form</w:t>
              </w:r>
            </w:hyperlink>
          </w:p>
        </w:tc>
      </w:tr>
    </w:tbl>
    <w:p w14:paraId="0185E439" w14:textId="77777777" w:rsidR="00514724" w:rsidRDefault="00514724"/>
    <w:sectPr w:rsidR="00514724" w:rsidSect="008E1E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604F1"/>
    <w:multiLevelType w:val="hybridMultilevel"/>
    <w:tmpl w:val="725CC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47386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D"/>
    <w:rsid w:val="00016F35"/>
    <w:rsid w:val="000678B6"/>
    <w:rsid w:val="001E75BF"/>
    <w:rsid w:val="00256E3E"/>
    <w:rsid w:val="002C784D"/>
    <w:rsid w:val="003170E2"/>
    <w:rsid w:val="00326D03"/>
    <w:rsid w:val="003B6B90"/>
    <w:rsid w:val="004A14A4"/>
    <w:rsid w:val="00514724"/>
    <w:rsid w:val="005277B0"/>
    <w:rsid w:val="00544BDB"/>
    <w:rsid w:val="00583FEF"/>
    <w:rsid w:val="00776C3D"/>
    <w:rsid w:val="00777CE2"/>
    <w:rsid w:val="007833C9"/>
    <w:rsid w:val="007878D8"/>
    <w:rsid w:val="0079204B"/>
    <w:rsid w:val="008B1AE6"/>
    <w:rsid w:val="008E1E5D"/>
    <w:rsid w:val="00951CE8"/>
    <w:rsid w:val="00AB2390"/>
    <w:rsid w:val="00BE69D3"/>
    <w:rsid w:val="00C308A3"/>
    <w:rsid w:val="00C42CC6"/>
    <w:rsid w:val="00C66EFB"/>
    <w:rsid w:val="00D77BB2"/>
    <w:rsid w:val="00D80013"/>
    <w:rsid w:val="00D8126A"/>
    <w:rsid w:val="00E20A56"/>
    <w:rsid w:val="00E637B4"/>
    <w:rsid w:val="00E76693"/>
    <w:rsid w:val="00ED4280"/>
    <w:rsid w:val="00FE7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930E4"/>
  <w15:chartTrackingRefBased/>
  <w15:docId w15:val="{8B4AEC78-A4C9-420B-A80B-F854EA5E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1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33C9"/>
    <w:rPr>
      <w:color w:val="0563C1" w:themeColor="hyperlink"/>
      <w:u w:val="single"/>
    </w:rPr>
  </w:style>
  <w:style w:type="character" w:styleId="UnresolvedMention">
    <w:name w:val="Unresolved Mention"/>
    <w:basedOn w:val="DefaultParagraphFont"/>
    <w:uiPriority w:val="99"/>
    <w:semiHidden/>
    <w:unhideWhenUsed/>
    <w:rsid w:val="007833C9"/>
    <w:rPr>
      <w:color w:val="605E5C"/>
      <w:shd w:val="clear" w:color="auto" w:fill="E1DFDD"/>
    </w:rPr>
  </w:style>
  <w:style w:type="character" w:styleId="FollowedHyperlink">
    <w:name w:val="FollowedHyperlink"/>
    <w:basedOn w:val="DefaultParagraphFont"/>
    <w:uiPriority w:val="99"/>
    <w:semiHidden/>
    <w:unhideWhenUsed/>
    <w:rsid w:val="00E766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fastmet.ac.uk/siteFiles/resources/docs/about-us/equality/equality-screening-fee-and-charges-policy.docx"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elfastmet.ac.uk/siteFiles/resources/docs/about-us/equality/equality-screening-form-management-of-policie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4C23DB6AC3D4AAFF62DC553EF7BF7" ma:contentTypeVersion="16" ma:contentTypeDescription="Create a new document." ma:contentTypeScope="" ma:versionID="ccb5bb7434cf93657161e040d9113d8f">
  <xsd:schema xmlns:xsd="http://www.w3.org/2001/XMLSchema" xmlns:xs="http://www.w3.org/2001/XMLSchema" xmlns:p="http://schemas.microsoft.com/office/2006/metadata/properties" xmlns:ns2="49587929-4425-4d60-91cc-c6581ebcf9b1" xmlns:ns3="e4fdfb88-4f64-451b-ad1f-ec16e97ee3d6" targetNamespace="http://schemas.microsoft.com/office/2006/metadata/properties" ma:root="true" ma:fieldsID="af889640feede69430e0f55786f6044e" ns2:_="" ns3:_="">
    <xsd:import namespace="49587929-4425-4d60-91cc-c6581ebcf9b1"/>
    <xsd:import namespace="e4fdfb88-4f64-451b-ad1f-ec16e97e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87929-4425-4d60-91cc-c6581ebcf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7bf049-79e0-4458-bfc8-87e433a75c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fdfb88-4f64-451b-ad1f-ec16e97ee3d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fcd1a5-fa02-4d0d-bd89-7c6434483b21}" ma:internalName="TaxCatchAll" ma:showField="CatchAllData" ma:web="e4fdfb88-4f64-451b-ad1f-ec16e97ee3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4fdfb88-4f64-451b-ad1f-ec16e97ee3d6" xsi:nil="true"/>
    <lcf76f155ced4ddcb4097134ff3c332f xmlns="49587929-4425-4d60-91cc-c6581ebcf9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CDE08-E738-463E-BD3B-A3A98FF16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87929-4425-4d60-91cc-c6581ebcf9b1"/>
    <ds:schemaRef ds:uri="e4fdfb88-4f64-451b-ad1f-ec16e97e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E8E097-1972-44B4-9571-9A4288152175}">
  <ds:schemaRefs>
    <ds:schemaRef ds:uri="http://schemas.microsoft.com/office/2006/metadata/properties"/>
    <ds:schemaRef ds:uri="http://schemas.microsoft.com/office/infopath/2007/PartnerControls"/>
    <ds:schemaRef ds:uri="e4fdfb88-4f64-451b-ad1f-ec16e97ee3d6"/>
    <ds:schemaRef ds:uri="49587929-4425-4d60-91cc-c6581ebcf9b1"/>
  </ds:schemaRefs>
</ds:datastoreItem>
</file>

<file path=customXml/itemProps3.xml><?xml version="1.0" encoding="utf-8"?>
<ds:datastoreItem xmlns:ds="http://schemas.openxmlformats.org/officeDocument/2006/customXml" ds:itemID="{B67AD811-E3FB-4FDE-BA50-62A11C1273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Coffey (MCoffey)</dc:creator>
  <cp:keywords/>
  <dc:description/>
  <cp:lastModifiedBy>Eoin Jennings (EJennings)</cp:lastModifiedBy>
  <cp:revision>22</cp:revision>
  <dcterms:created xsi:type="dcterms:W3CDTF">2023-05-04T08:20:00Z</dcterms:created>
  <dcterms:modified xsi:type="dcterms:W3CDTF">2023-06-06T14:13:00Z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0x010100FE34C23DB6AC3D4AAFF62DC553EF7BF7</vt:lpwstr>
  </property>
  <property fmtid="{D5CDD505-2E9C-101B-9397-08002B2CF9AE}" pid="3" name="MediaServiceImageTags">
    <vt:lpwstr/>
  </property>
</Properties>
</file>