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B868" w14:textId="77777777" w:rsidR="00A67F32" w:rsidRPr="00E3447D" w:rsidRDefault="00A67F32" w:rsidP="00A67F32">
      <w:pPr>
        <w:tabs>
          <w:tab w:val="left" w:pos="6466"/>
        </w:tabs>
        <w:spacing w:after="0"/>
        <w:ind w:left="6804"/>
        <w:rPr>
          <w:b/>
          <w:bCs/>
          <w:color w:val="806000" w:themeColor="accent4" w:themeShade="80"/>
          <w:sz w:val="32"/>
          <w:szCs w:val="32"/>
        </w:rPr>
      </w:pPr>
      <w:r w:rsidRPr="00E3447D">
        <w:rPr>
          <w:rFonts w:ascii="Times New Roman" w:eastAsia="Times New Roman" w:hAnsi="Times New Roman"/>
          <w:b/>
          <w:bCs/>
          <w:noProof/>
          <w:color w:val="806000" w:themeColor="accent4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D20CD4" wp14:editId="474300D9">
            <wp:simplePos x="0" y="0"/>
            <wp:positionH relativeFrom="margin">
              <wp:posOffset>2636520</wp:posOffset>
            </wp:positionH>
            <wp:positionV relativeFrom="paragraph">
              <wp:posOffset>-325717</wp:posOffset>
            </wp:positionV>
            <wp:extent cx="1553414" cy="1263143"/>
            <wp:effectExtent l="0" t="0" r="8890" b="0"/>
            <wp:wrapNone/>
            <wp:docPr id="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414" cy="126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47D">
        <w:rPr>
          <w:b/>
          <w:bCs/>
          <w:color w:val="806000" w:themeColor="accent4" w:themeShade="80"/>
          <w:sz w:val="32"/>
          <w:szCs w:val="32"/>
        </w:rPr>
        <w:t>Governing Body</w:t>
      </w:r>
    </w:p>
    <w:p w14:paraId="710B2A40" w14:textId="77777777" w:rsidR="00A67F32" w:rsidRPr="00E3447D" w:rsidRDefault="00A67F32" w:rsidP="00A67F32">
      <w:pPr>
        <w:spacing w:after="0"/>
        <w:jc w:val="right"/>
        <w:rPr>
          <w:b/>
          <w:bCs/>
          <w:color w:val="806000" w:themeColor="accent4" w:themeShade="80"/>
          <w:sz w:val="32"/>
          <w:szCs w:val="32"/>
        </w:rPr>
      </w:pPr>
      <w:r w:rsidRPr="00E3447D">
        <w:rPr>
          <w:b/>
          <w:bCs/>
          <w:color w:val="806000" w:themeColor="accent4" w:themeShade="80"/>
          <w:sz w:val="32"/>
          <w:szCs w:val="32"/>
        </w:rPr>
        <w:t xml:space="preserve">Human Resources </w:t>
      </w:r>
    </w:p>
    <w:p w14:paraId="0314DCA8" w14:textId="4823F435" w:rsidR="00103857" w:rsidRPr="00E3447D" w:rsidRDefault="00A67F32" w:rsidP="00A67F32">
      <w:pPr>
        <w:jc w:val="right"/>
        <w:rPr>
          <w:b/>
          <w:bCs/>
          <w:color w:val="806000" w:themeColor="accent4" w:themeShade="80"/>
          <w:sz w:val="32"/>
          <w:szCs w:val="32"/>
        </w:rPr>
      </w:pPr>
      <w:r w:rsidRPr="00E3447D">
        <w:rPr>
          <w:b/>
          <w:bCs/>
          <w:color w:val="806000" w:themeColor="accent4" w:themeShade="80"/>
          <w:sz w:val="32"/>
          <w:szCs w:val="32"/>
        </w:rPr>
        <w:t>Committee</w:t>
      </w:r>
    </w:p>
    <w:p w14:paraId="265C7D42" w14:textId="453E04F3" w:rsidR="00A67F32" w:rsidRDefault="00A67F32" w:rsidP="00A67F32">
      <w:pPr>
        <w:jc w:val="right"/>
        <w:rPr>
          <w:b/>
          <w:bCs/>
          <w:sz w:val="32"/>
          <w:szCs w:val="32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67F32" w:rsidRPr="00CE0F51" w14:paraId="6442F3EB" w14:textId="77777777" w:rsidTr="00E02596">
        <w:trPr>
          <w:trHeight w:val="675"/>
        </w:trPr>
        <w:tc>
          <w:tcPr>
            <w:tcW w:w="10065" w:type="dxa"/>
            <w:shd w:val="clear" w:color="auto" w:fill="BF8F00" w:themeFill="accent4" w:themeFillShade="BF"/>
          </w:tcPr>
          <w:p w14:paraId="7E17B77F" w14:textId="04B8E00C" w:rsidR="00F34C49" w:rsidRDefault="00A67F32" w:rsidP="0075050A">
            <w:pPr>
              <w:rPr>
                <w:b/>
              </w:rPr>
            </w:pPr>
            <w:r w:rsidRPr="00CE0F51">
              <w:rPr>
                <w:b/>
              </w:rPr>
              <w:t xml:space="preserve">Belfast Metropolitan </w:t>
            </w:r>
            <w:r>
              <w:rPr>
                <w:b/>
              </w:rPr>
              <w:t xml:space="preserve">College Human Resources Committee 3.00pm Monday </w:t>
            </w:r>
            <w:r w:rsidR="009A31F8">
              <w:rPr>
                <w:b/>
              </w:rPr>
              <w:t xml:space="preserve">11 September </w:t>
            </w:r>
            <w:r>
              <w:rPr>
                <w:b/>
              </w:rPr>
              <w:t xml:space="preserve">2023 in TQ Board Room and via MS Teams </w:t>
            </w:r>
          </w:p>
          <w:p w14:paraId="7E0A17E0" w14:textId="1AFF1B34" w:rsidR="00A67F32" w:rsidRPr="00CE0F51" w:rsidRDefault="00EB758A" w:rsidP="0075050A">
            <w:pPr>
              <w:rPr>
                <w:b/>
              </w:rPr>
            </w:pPr>
            <w:r>
              <w:rPr>
                <w:b/>
              </w:rPr>
              <w:t xml:space="preserve">MINUTES </w:t>
            </w:r>
            <w:r w:rsidR="00421D83">
              <w:rPr>
                <w:b/>
              </w:rPr>
              <w:t>(Approved 4 Dec 23)</w:t>
            </w:r>
          </w:p>
        </w:tc>
      </w:tr>
      <w:tr w:rsidR="00A67F32" w:rsidRPr="00CE0F51" w14:paraId="6F84342A" w14:textId="77777777" w:rsidTr="00E02596">
        <w:tc>
          <w:tcPr>
            <w:tcW w:w="10065" w:type="dxa"/>
          </w:tcPr>
          <w:p w14:paraId="31745550" w14:textId="77777777" w:rsidR="00DC5E78" w:rsidRDefault="00DC5E78" w:rsidP="0075050A">
            <w:pPr>
              <w:rPr>
                <w:b/>
              </w:rPr>
            </w:pPr>
          </w:p>
          <w:p w14:paraId="77946ED6" w14:textId="05CD564C" w:rsidR="00A67F32" w:rsidRPr="00012091" w:rsidRDefault="00A67F32" w:rsidP="0075050A">
            <w:pPr>
              <w:rPr>
                <w:rFonts w:asciiTheme="minorHAnsi" w:hAnsiTheme="minorHAnsi" w:cstheme="minorHAnsi"/>
              </w:rPr>
            </w:pPr>
            <w:r w:rsidRPr="00CE0F51">
              <w:rPr>
                <w:b/>
              </w:rPr>
              <w:t xml:space="preserve">Committee Members:  </w:t>
            </w:r>
            <w:r w:rsidRPr="004F7C7D">
              <w:rPr>
                <w:bCs/>
              </w:rPr>
              <w:t>Lauren McAteer</w:t>
            </w:r>
            <w:r>
              <w:rPr>
                <w:rFonts w:asciiTheme="minorHAnsi" w:hAnsiTheme="minorHAnsi" w:cstheme="minorHAnsi"/>
              </w:rPr>
              <w:t xml:space="preserve"> (Chair); Sam Snodden;</w:t>
            </w:r>
            <w:r w:rsidR="009A31F8">
              <w:rPr>
                <w:rFonts w:asciiTheme="minorHAnsi" w:hAnsiTheme="minorHAnsi" w:cstheme="minorHAnsi"/>
              </w:rPr>
              <w:t xml:space="preserve"> </w:t>
            </w:r>
            <w:r w:rsidR="00F05E38">
              <w:rPr>
                <w:rFonts w:asciiTheme="minorHAnsi" w:hAnsiTheme="minorHAnsi" w:cstheme="minorHAnsi"/>
              </w:rPr>
              <w:t xml:space="preserve">Seamus McGoran; </w:t>
            </w:r>
            <w:r>
              <w:rPr>
                <w:rFonts w:asciiTheme="minorHAnsi" w:hAnsiTheme="minorHAnsi" w:cstheme="minorHAnsi"/>
              </w:rPr>
              <w:t>Michele Corkey</w:t>
            </w:r>
            <w:r w:rsidR="009A31F8">
              <w:rPr>
                <w:rFonts w:asciiTheme="minorHAnsi" w:hAnsiTheme="minorHAnsi" w:cstheme="minorHAnsi"/>
              </w:rPr>
              <w:t>;</w:t>
            </w:r>
            <w:r w:rsidR="00F05E38">
              <w:rPr>
                <w:rFonts w:asciiTheme="minorHAnsi" w:hAnsiTheme="minorHAnsi" w:cstheme="minorHAnsi"/>
              </w:rPr>
              <w:t xml:space="preserve"> </w:t>
            </w:r>
            <w:r w:rsidR="003936C8">
              <w:rPr>
                <w:rFonts w:asciiTheme="minorHAnsi" w:hAnsiTheme="minorHAnsi" w:cstheme="minorHAnsi"/>
              </w:rPr>
              <w:t>Sinead Sharpe; Sheena McKinney; Rose Byrne;</w:t>
            </w:r>
            <w:r w:rsidR="009A31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Louise Warde Hunter, Principal and Chief Executive.</w:t>
            </w:r>
          </w:p>
          <w:p w14:paraId="146CFA3C" w14:textId="77777777" w:rsidR="00A67F32" w:rsidRPr="00CE0F51" w:rsidRDefault="00A67F32" w:rsidP="0075050A">
            <w:pPr>
              <w:rPr>
                <w:b/>
              </w:rPr>
            </w:pPr>
          </w:p>
          <w:p w14:paraId="33C89841" w14:textId="57ECE44E" w:rsidR="00A67F32" w:rsidRPr="00CE0F51" w:rsidRDefault="00A67F32" w:rsidP="0075050A">
            <w:pPr>
              <w:rPr>
                <w:b/>
              </w:rPr>
            </w:pPr>
            <w:r w:rsidRPr="00CE0F51">
              <w:rPr>
                <w:b/>
              </w:rPr>
              <w:t xml:space="preserve">Management: </w:t>
            </w:r>
            <w:r w:rsidR="009A31F8" w:rsidRPr="001034F4">
              <w:rPr>
                <w:bCs/>
              </w:rPr>
              <w:t xml:space="preserve">Aidan Sloane, </w:t>
            </w:r>
            <w:r w:rsidR="00B122F2">
              <w:rPr>
                <w:bCs/>
              </w:rPr>
              <w:t>Chief Operating Officer</w:t>
            </w:r>
            <w:r w:rsidR="009A31F8" w:rsidRPr="001034F4">
              <w:rPr>
                <w:bCs/>
              </w:rPr>
              <w:t xml:space="preserve"> (</w:t>
            </w:r>
            <w:r w:rsidR="00B122F2">
              <w:rPr>
                <w:bCs/>
              </w:rPr>
              <w:t>COO</w:t>
            </w:r>
            <w:r w:rsidR="009A31F8" w:rsidRPr="001034F4">
              <w:rPr>
                <w:bCs/>
              </w:rPr>
              <w:t>);</w:t>
            </w:r>
            <w:r w:rsidR="009A31F8">
              <w:rPr>
                <w:b/>
              </w:rPr>
              <w:t xml:space="preserve"> </w:t>
            </w:r>
            <w:r>
              <w:t>Stephanie McCormack, Head of Human Resources (HHR)</w:t>
            </w:r>
            <w:r w:rsidR="00DF01E3">
              <w:t>; Rebecca Robert</w:t>
            </w:r>
            <w:r w:rsidR="00B77914">
              <w:t>s, Head of Excellence (HE)</w:t>
            </w:r>
            <w:r w:rsidR="00D6684F">
              <w:t xml:space="preserve"> (Attended 1-7 only)</w:t>
            </w:r>
            <w:r w:rsidR="00B77914">
              <w:t>.</w:t>
            </w:r>
          </w:p>
          <w:p w14:paraId="3185C1E4" w14:textId="77777777" w:rsidR="00A67F32" w:rsidRDefault="00A67F32" w:rsidP="0075050A">
            <w:pPr>
              <w:rPr>
                <w:b/>
              </w:rPr>
            </w:pPr>
          </w:p>
          <w:p w14:paraId="736C1E38" w14:textId="6D0A98F8" w:rsidR="00A67F32" w:rsidRPr="00CE0F51" w:rsidRDefault="00A67F32" w:rsidP="0075050A">
            <w:r w:rsidRPr="00CE0F51">
              <w:rPr>
                <w:b/>
              </w:rPr>
              <w:t xml:space="preserve">Clerk to the Governing Body: </w:t>
            </w:r>
            <w:r w:rsidR="00A56CCD" w:rsidRPr="00A56CCD">
              <w:rPr>
                <w:bCs/>
              </w:rPr>
              <w:t>Andrea Brown</w:t>
            </w:r>
            <w:r w:rsidR="00204122">
              <w:rPr>
                <w:bCs/>
              </w:rPr>
              <w:t>e</w:t>
            </w:r>
            <w:r w:rsidR="00A56CCD" w:rsidRPr="00A56CCD">
              <w:rPr>
                <w:bCs/>
              </w:rPr>
              <w:t xml:space="preserve"> (in absence of </w:t>
            </w:r>
            <w:r w:rsidRPr="00A56CCD">
              <w:rPr>
                <w:bCs/>
              </w:rPr>
              <w:t>Gerry Crossan</w:t>
            </w:r>
            <w:r w:rsidR="00A56CCD" w:rsidRPr="00A56CCD">
              <w:rPr>
                <w:bCs/>
              </w:rPr>
              <w:t>)</w:t>
            </w:r>
          </w:p>
          <w:p w14:paraId="15D034BF" w14:textId="77777777" w:rsidR="00A67F32" w:rsidRPr="00CE0F51" w:rsidRDefault="00A67F32" w:rsidP="0075050A">
            <w:pPr>
              <w:rPr>
                <w:b/>
              </w:rPr>
            </w:pPr>
          </w:p>
        </w:tc>
      </w:tr>
    </w:tbl>
    <w:p w14:paraId="65C285C0" w14:textId="77777777" w:rsidR="00724F28" w:rsidRDefault="00724F28" w:rsidP="00A67F32">
      <w:pPr>
        <w:jc w:val="both"/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724F28" w:rsidRPr="00CE0F51" w14:paraId="6D4ABD2C" w14:textId="77777777" w:rsidTr="00B10316">
        <w:trPr>
          <w:tblHeader/>
        </w:trPr>
        <w:tc>
          <w:tcPr>
            <w:tcW w:w="1844" w:type="dxa"/>
            <w:shd w:val="clear" w:color="auto" w:fill="BF8F00" w:themeFill="accent4" w:themeFillShade="BF"/>
          </w:tcPr>
          <w:p w14:paraId="063562E8" w14:textId="25720328" w:rsidR="00724F28" w:rsidRPr="00DC5E78" w:rsidRDefault="00724F28" w:rsidP="0075050A">
            <w:pPr>
              <w:rPr>
                <w:b/>
                <w:color w:val="1F4E79" w:themeColor="accent5" w:themeShade="80"/>
              </w:rPr>
            </w:pPr>
            <w:r w:rsidRPr="00DC5E78">
              <w:rPr>
                <w:b/>
                <w:color w:val="000000" w:themeColor="text1"/>
              </w:rPr>
              <w:t>Item</w:t>
            </w:r>
          </w:p>
        </w:tc>
        <w:tc>
          <w:tcPr>
            <w:tcW w:w="8221" w:type="dxa"/>
            <w:shd w:val="clear" w:color="auto" w:fill="BF8F00" w:themeFill="accent4" w:themeFillShade="BF"/>
          </w:tcPr>
          <w:p w14:paraId="17DB5B03" w14:textId="1867B2A6" w:rsidR="00B10316" w:rsidRPr="00DC5E78" w:rsidRDefault="00724F28" w:rsidP="00DC5E78">
            <w:pPr>
              <w:rPr>
                <w:rFonts w:cs="Arial"/>
                <w:b/>
              </w:rPr>
            </w:pPr>
            <w:r w:rsidRPr="00DC5E78">
              <w:rPr>
                <w:rFonts w:cs="Arial"/>
                <w:b/>
              </w:rPr>
              <w:t>Minute</w:t>
            </w:r>
            <w:r w:rsidR="00DC5E78">
              <w:rPr>
                <w:rFonts w:cs="Arial"/>
                <w:b/>
              </w:rPr>
              <w:t xml:space="preserve"> </w:t>
            </w:r>
            <w:r w:rsidR="00A46C1F" w:rsidRPr="004E1EDE">
              <w:rPr>
                <w:rFonts w:cs="Arial"/>
                <w:b/>
              </w:rPr>
              <w:t>inc CLOSED SESSION</w:t>
            </w:r>
            <w:r w:rsidR="00421D83" w:rsidRPr="004E1EDE">
              <w:rPr>
                <w:rFonts w:cs="Arial"/>
                <w:b/>
              </w:rPr>
              <w:t xml:space="preserve"> </w:t>
            </w:r>
            <w:r w:rsidR="00A4056E" w:rsidRPr="004E1EDE">
              <w:rPr>
                <w:rFonts w:cs="Arial"/>
                <w:b/>
              </w:rPr>
              <w:t>(approved 4 Dec 23)</w:t>
            </w:r>
          </w:p>
          <w:p w14:paraId="49200ACA" w14:textId="0F191887" w:rsidR="00724F28" w:rsidRPr="00DC5E78" w:rsidRDefault="00724F28" w:rsidP="0075050A">
            <w:pPr>
              <w:rPr>
                <w:rFonts w:cs="Arial"/>
                <w:b/>
              </w:rPr>
            </w:pPr>
          </w:p>
        </w:tc>
      </w:tr>
      <w:tr w:rsidR="00A67F32" w:rsidRPr="00CE0F51" w14:paraId="779BBF5B" w14:textId="77777777" w:rsidTr="00E02596">
        <w:tc>
          <w:tcPr>
            <w:tcW w:w="1844" w:type="dxa"/>
          </w:tcPr>
          <w:p w14:paraId="29C5B57B" w14:textId="068E2EB3" w:rsidR="00A67F32" w:rsidRDefault="00A67F32" w:rsidP="0075050A">
            <w:pPr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1034F4">
              <w:rPr>
                <w:b/>
                <w:color w:val="1F4E79" w:themeColor="accent5" w:themeShade="80"/>
              </w:rPr>
              <w:t>01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1034F4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1034F4">
              <w:rPr>
                <w:b/>
                <w:color w:val="1F4E79" w:themeColor="accent5" w:themeShade="80"/>
              </w:rPr>
              <w:t>4</w:t>
            </w:r>
          </w:p>
          <w:p w14:paraId="20D00627" w14:textId="77777777" w:rsidR="00A67F32" w:rsidRDefault="00A67F32" w:rsidP="0075050A">
            <w:pPr>
              <w:rPr>
                <w:b/>
                <w:color w:val="1F4E79" w:themeColor="accent5" w:themeShade="80"/>
              </w:rPr>
            </w:pPr>
          </w:p>
          <w:p w14:paraId="1AB0AF5E" w14:textId="5DBE8316" w:rsidR="007A2EAC" w:rsidRPr="00C903CD" w:rsidRDefault="00A67F32" w:rsidP="00C903CD">
            <w:pPr>
              <w:rPr>
                <w:b/>
              </w:rPr>
            </w:pPr>
            <w:r w:rsidRPr="00502F38">
              <w:rPr>
                <w:b/>
              </w:rPr>
              <w:t>Chair</w:t>
            </w:r>
            <w:r w:rsidR="007A2EAC" w:rsidRPr="006C3034">
              <w:rPr>
                <w:b/>
                <w:sz w:val="16"/>
                <w:szCs w:val="16"/>
              </w:rPr>
              <w:t xml:space="preserve"> </w:t>
            </w:r>
          </w:p>
          <w:p w14:paraId="4871D6B0" w14:textId="77777777" w:rsidR="00A67F32" w:rsidRPr="006C3034" w:rsidRDefault="00A67F32" w:rsidP="0075050A">
            <w:pPr>
              <w:rPr>
                <w:b/>
              </w:rPr>
            </w:pPr>
          </w:p>
          <w:p w14:paraId="5245E9EA" w14:textId="77777777" w:rsidR="00A67F32" w:rsidRPr="002E27B3" w:rsidRDefault="00A67F32" w:rsidP="0075050A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8221" w:type="dxa"/>
          </w:tcPr>
          <w:p w14:paraId="5F2B96E3" w14:textId="77777777" w:rsidR="00A67F32" w:rsidRPr="00CE0F51" w:rsidRDefault="00A67F32" w:rsidP="0075050A">
            <w:pPr>
              <w:rPr>
                <w:rFonts w:cs="Arial"/>
                <w:b/>
              </w:rPr>
            </w:pPr>
            <w:r w:rsidRPr="00CE0F51">
              <w:rPr>
                <w:rFonts w:cs="Arial"/>
                <w:b/>
              </w:rPr>
              <w:t>Quorum,</w:t>
            </w:r>
            <w:r>
              <w:rPr>
                <w:rFonts w:cs="Arial"/>
                <w:b/>
              </w:rPr>
              <w:t xml:space="preserve"> Apologies, Welcome, Conflicts of Interest, </w:t>
            </w:r>
            <w:r w:rsidRPr="00CE0F51">
              <w:rPr>
                <w:rFonts w:cs="Arial"/>
                <w:b/>
              </w:rPr>
              <w:t>Notice of AOB</w:t>
            </w:r>
            <w:r>
              <w:rPr>
                <w:rFonts w:cs="Arial"/>
                <w:b/>
              </w:rPr>
              <w:t xml:space="preserve"> and Leadership Culture</w:t>
            </w:r>
          </w:p>
          <w:p w14:paraId="26487D59" w14:textId="77777777" w:rsidR="00A67F32" w:rsidRPr="00CE0F51" w:rsidRDefault="00A67F32" w:rsidP="0075050A">
            <w:pPr>
              <w:rPr>
                <w:rFonts w:cs="Arial"/>
                <w:b/>
              </w:rPr>
            </w:pPr>
            <w:r w:rsidRPr="00CE0F51">
              <w:rPr>
                <w:rFonts w:cs="Arial"/>
                <w:b/>
              </w:rPr>
              <w:t xml:space="preserve">  </w:t>
            </w:r>
          </w:p>
          <w:p w14:paraId="45FD94FA" w14:textId="766EC241" w:rsidR="00A67F32" w:rsidRPr="00CE0F51" w:rsidRDefault="00A67F32" w:rsidP="0075050A">
            <w:pPr>
              <w:rPr>
                <w:rFonts w:cs="Arial"/>
              </w:rPr>
            </w:pPr>
            <w:r w:rsidRPr="00CE0F51">
              <w:rPr>
                <w:rFonts w:cs="Arial"/>
                <w:b/>
              </w:rPr>
              <w:t>Quorum</w:t>
            </w:r>
            <w:r w:rsidRPr="00CE0F51">
              <w:rPr>
                <w:rFonts w:cs="Arial"/>
              </w:rPr>
              <w:t>:  The meeting</w:t>
            </w:r>
            <w:r w:rsidR="00EA2ED5">
              <w:rPr>
                <w:rFonts w:cs="Arial"/>
              </w:rPr>
              <w:t xml:space="preserve"> was</w:t>
            </w:r>
            <w:r w:rsidRPr="00CE0F51">
              <w:rPr>
                <w:rFonts w:cs="Arial"/>
              </w:rPr>
              <w:t xml:space="preserve"> quorate under the terms of </w:t>
            </w:r>
            <w:r>
              <w:rPr>
                <w:rFonts w:cs="Arial"/>
              </w:rPr>
              <w:t>Section</w:t>
            </w:r>
            <w:r w:rsidRPr="00CE0F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6.2 </w:t>
            </w:r>
            <w:r w:rsidRPr="00CE0F51">
              <w:rPr>
                <w:rFonts w:cs="Arial"/>
              </w:rPr>
              <w:t>of the</w:t>
            </w:r>
            <w:r>
              <w:rPr>
                <w:rFonts w:cs="Arial"/>
              </w:rPr>
              <w:t xml:space="preserve"> Terms of Reference for the Human Resource Committee </w:t>
            </w:r>
            <w:r>
              <w:t xml:space="preserve">(approved </w:t>
            </w:r>
            <w:r>
              <w:rPr>
                <w:b/>
              </w:rPr>
              <w:t>GB81a 21/22 22 June 2022)</w:t>
            </w:r>
            <w:r>
              <w:rPr>
                <w:rFonts w:cs="Arial"/>
              </w:rPr>
              <w:t xml:space="preserve"> (2 </w:t>
            </w:r>
            <w:r w:rsidRPr="00CE0F51">
              <w:rPr>
                <w:rFonts w:cs="Arial"/>
              </w:rPr>
              <w:t>Governors).</w:t>
            </w:r>
          </w:p>
          <w:p w14:paraId="2C4905E6" w14:textId="77777777" w:rsidR="00A67F32" w:rsidRDefault="00A67F32" w:rsidP="0075050A">
            <w:pPr>
              <w:rPr>
                <w:rFonts w:cs="Arial"/>
                <w:b/>
              </w:rPr>
            </w:pPr>
          </w:p>
          <w:p w14:paraId="07678B2B" w14:textId="07A2BEE9" w:rsidR="00FB38AA" w:rsidRDefault="00A67F32" w:rsidP="0075050A">
            <w:pPr>
              <w:rPr>
                <w:rFonts w:cs="Arial"/>
                <w:bCs/>
              </w:rPr>
            </w:pPr>
            <w:r w:rsidRPr="00CE0F51">
              <w:rPr>
                <w:rFonts w:cs="Arial"/>
                <w:b/>
              </w:rPr>
              <w:t>Apologies:</w:t>
            </w:r>
            <w:r>
              <w:rPr>
                <w:rFonts w:cs="Arial"/>
                <w:b/>
              </w:rPr>
              <w:t xml:space="preserve"> </w:t>
            </w:r>
            <w:r w:rsidR="00FB38AA">
              <w:rPr>
                <w:rFonts w:cs="Arial"/>
                <w:b/>
              </w:rPr>
              <w:t xml:space="preserve"> </w:t>
            </w:r>
            <w:r w:rsidR="00FB38AA" w:rsidRPr="00FB38AA">
              <w:rPr>
                <w:rFonts w:cs="Arial"/>
                <w:bCs/>
              </w:rPr>
              <w:t>Received from Louise Warde Hunter</w:t>
            </w:r>
            <w:r w:rsidR="005371FE">
              <w:rPr>
                <w:rFonts w:cs="Arial"/>
                <w:bCs/>
              </w:rPr>
              <w:t>, Gerry Crossan</w:t>
            </w:r>
            <w:r w:rsidR="00555611">
              <w:rPr>
                <w:rFonts w:cs="Arial"/>
                <w:bCs/>
              </w:rPr>
              <w:t>.</w:t>
            </w:r>
          </w:p>
          <w:p w14:paraId="6A5E0E1A" w14:textId="77777777" w:rsidR="00A67F32" w:rsidRDefault="00A67F32" w:rsidP="0075050A">
            <w:pPr>
              <w:rPr>
                <w:rFonts w:cs="Arial"/>
                <w:bCs/>
              </w:rPr>
            </w:pPr>
          </w:p>
          <w:p w14:paraId="354FF2F5" w14:textId="004899B7" w:rsidR="00A67F32" w:rsidRDefault="00A67F32" w:rsidP="0075050A">
            <w:pPr>
              <w:rPr>
                <w:rFonts w:cs="Arial"/>
                <w:bCs/>
              </w:rPr>
            </w:pPr>
            <w:r w:rsidRPr="0037254F">
              <w:rPr>
                <w:rFonts w:cs="Arial"/>
                <w:b/>
              </w:rPr>
              <w:t>Welcome</w:t>
            </w:r>
            <w:r>
              <w:rPr>
                <w:rFonts w:cs="Arial"/>
                <w:bCs/>
              </w:rPr>
              <w:t>:  The Chair</w:t>
            </w:r>
            <w:r w:rsidR="009A73EE">
              <w:rPr>
                <w:rFonts w:cs="Arial"/>
                <w:bCs/>
              </w:rPr>
              <w:t xml:space="preserve"> </w:t>
            </w:r>
            <w:r w:rsidR="001034F4">
              <w:rPr>
                <w:rFonts w:cs="Arial"/>
                <w:bCs/>
              </w:rPr>
              <w:t>welcome</w:t>
            </w:r>
            <w:r w:rsidR="00FB38AA">
              <w:rPr>
                <w:rFonts w:cs="Arial"/>
                <w:bCs/>
              </w:rPr>
              <w:t>d</w:t>
            </w:r>
            <w:r w:rsidR="00670DFF">
              <w:rPr>
                <w:rFonts w:cs="Arial"/>
                <w:bCs/>
              </w:rPr>
              <w:t xml:space="preserve"> all </w:t>
            </w:r>
            <w:r w:rsidR="00E82A50">
              <w:rPr>
                <w:rFonts w:cs="Arial"/>
                <w:bCs/>
              </w:rPr>
              <w:t>colleagues to the first HR Committee meeting of 2023/24.</w:t>
            </w:r>
            <w:r w:rsidR="001034F4">
              <w:rPr>
                <w:rFonts w:cs="Arial"/>
                <w:bCs/>
              </w:rPr>
              <w:t xml:space="preserve"> </w:t>
            </w:r>
            <w:r w:rsidR="00F24B08" w:rsidRPr="00F24B08">
              <w:rPr>
                <w:rFonts w:cs="Arial"/>
                <w:bCs/>
              </w:rPr>
              <w:t xml:space="preserve">Welcome </w:t>
            </w:r>
            <w:r w:rsidR="00F24B08">
              <w:rPr>
                <w:rFonts w:cs="Arial"/>
                <w:bCs/>
              </w:rPr>
              <w:t>and i</w:t>
            </w:r>
            <w:r w:rsidR="00F24B08" w:rsidRPr="00F24B08">
              <w:rPr>
                <w:rFonts w:cs="Arial"/>
                <w:bCs/>
              </w:rPr>
              <w:t xml:space="preserve">ntroduction to </w:t>
            </w:r>
            <w:r w:rsidR="00F24B08">
              <w:rPr>
                <w:rFonts w:cs="Arial"/>
                <w:bCs/>
              </w:rPr>
              <w:t>new Committee</w:t>
            </w:r>
            <w:r w:rsidR="00F24B08" w:rsidRPr="00F24B08">
              <w:rPr>
                <w:rFonts w:cs="Arial"/>
                <w:bCs/>
              </w:rPr>
              <w:t xml:space="preserve"> Members</w:t>
            </w:r>
            <w:r w:rsidR="00F24B08">
              <w:rPr>
                <w:rFonts w:cs="Arial"/>
                <w:bCs/>
              </w:rPr>
              <w:t>.</w:t>
            </w:r>
          </w:p>
          <w:p w14:paraId="36A36618" w14:textId="247141BB" w:rsidR="005B0313" w:rsidRDefault="005B0313" w:rsidP="0075050A">
            <w:pPr>
              <w:rPr>
                <w:rFonts w:cs="Arial"/>
              </w:rPr>
            </w:pPr>
          </w:p>
          <w:p w14:paraId="468E50E8" w14:textId="4C5EABAE" w:rsidR="005B0313" w:rsidRPr="00AB6E1A" w:rsidRDefault="005B0313" w:rsidP="0075050A">
            <w:pPr>
              <w:rPr>
                <w:rFonts w:cs="Arial"/>
              </w:rPr>
            </w:pPr>
            <w:r>
              <w:rPr>
                <w:rFonts w:cs="Arial"/>
              </w:rPr>
              <w:t>Committee members and management introduced themselves.</w:t>
            </w:r>
          </w:p>
          <w:p w14:paraId="57286FFA" w14:textId="77777777" w:rsidR="00A67F32" w:rsidRPr="00AB6E1A" w:rsidRDefault="00A67F32" w:rsidP="0075050A">
            <w:pPr>
              <w:rPr>
                <w:rFonts w:cs="Arial"/>
              </w:rPr>
            </w:pPr>
          </w:p>
          <w:p w14:paraId="10A8691B" w14:textId="78DC6D2C" w:rsidR="00B548DB" w:rsidRDefault="00A67F32" w:rsidP="0075050A">
            <w:pPr>
              <w:pStyle w:val="NoSpacing"/>
              <w:ind w:right="-108"/>
              <w:rPr>
                <w:rFonts w:cs="Calibri"/>
              </w:rPr>
            </w:pPr>
            <w:r w:rsidRPr="00CE0F51">
              <w:rPr>
                <w:rFonts w:cs="Calibri"/>
                <w:b/>
              </w:rPr>
              <w:t>Conflicts of Interest</w:t>
            </w:r>
            <w:r w:rsidRPr="00CE0F51">
              <w:rPr>
                <w:rFonts w:cs="Calibri"/>
              </w:rPr>
              <w:t>:</w:t>
            </w:r>
            <w:r w:rsidR="002827CA">
              <w:rPr>
                <w:rFonts w:cs="Calibri"/>
              </w:rPr>
              <w:t xml:space="preserve"> </w:t>
            </w:r>
            <w:r w:rsidR="00B548DB">
              <w:rPr>
                <w:rFonts w:cs="Calibri"/>
              </w:rPr>
              <w:t xml:space="preserve">Sheena McKinney noted a </w:t>
            </w:r>
            <w:r w:rsidR="004639B8">
              <w:rPr>
                <w:rFonts w:cs="Calibri"/>
              </w:rPr>
              <w:t xml:space="preserve">potential </w:t>
            </w:r>
            <w:r w:rsidR="00B548DB">
              <w:rPr>
                <w:rFonts w:cs="Calibri"/>
              </w:rPr>
              <w:t xml:space="preserve">conflict of interest </w:t>
            </w:r>
            <w:r w:rsidR="003B7802">
              <w:rPr>
                <w:rFonts w:cs="Calibri"/>
              </w:rPr>
              <w:t xml:space="preserve">regarding </w:t>
            </w:r>
            <w:r w:rsidR="004639B8">
              <w:rPr>
                <w:rFonts w:cs="Calibri"/>
              </w:rPr>
              <w:t xml:space="preserve">her role as Equality </w:t>
            </w:r>
            <w:r w:rsidR="001650CE">
              <w:rPr>
                <w:rFonts w:cs="Calibri"/>
              </w:rPr>
              <w:t>C</w:t>
            </w:r>
            <w:r w:rsidR="004639B8">
              <w:rPr>
                <w:rFonts w:cs="Calibri"/>
              </w:rPr>
              <w:t>ommissioner for NI and the</w:t>
            </w:r>
            <w:r w:rsidR="001650CE">
              <w:rPr>
                <w:rFonts w:cs="Calibri"/>
              </w:rPr>
              <w:t xml:space="preserve"> Belfast Met</w:t>
            </w:r>
            <w:r w:rsidR="004639B8">
              <w:rPr>
                <w:rFonts w:cs="Calibri"/>
              </w:rPr>
              <w:t xml:space="preserve"> Equality Report.</w:t>
            </w:r>
            <w:r w:rsidR="001650CE">
              <w:rPr>
                <w:rFonts w:cs="Calibri"/>
              </w:rPr>
              <w:t xml:space="preserve">   </w:t>
            </w:r>
            <w:r w:rsidR="009843F1">
              <w:rPr>
                <w:rFonts w:cs="Calibri"/>
              </w:rPr>
              <w:t>The Chair considered</w:t>
            </w:r>
            <w:r w:rsidR="001650CE">
              <w:rPr>
                <w:rFonts w:cs="Calibri"/>
              </w:rPr>
              <w:t xml:space="preserve"> with management </w:t>
            </w:r>
            <w:r w:rsidR="009843F1">
              <w:rPr>
                <w:rFonts w:cs="Calibri"/>
              </w:rPr>
              <w:t>and noted no conflict on this occasion.</w:t>
            </w:r>
            <w:r w:rsidR="001650CE">
              <w:rPr>
                <w:rFonts w:cs="Calibri"/>
              </w:rPr>
              <w:t xml:space="preserve">   </w:t>
            </w:r>
          </w:p>
          <w:p w14:paraId="3486FB7F" w14:textId="77777777" w:rsidR="00B548DB" w:rsidRDefault="00B548DB" w:rsidP="0075050A">
            <w:pPr>
              <w:pStyle w:val="NoSpacing"/>
              <w:ind w:right="-108"/>
              <w:rPr>
                <w:rFonts w:cs="Calibri"/>
              </w:rPr>
            </w:pPr>
          </w:p>
          <w:p w14:paraId="455CB4E5" w14:textId="7DC6DB2F" w:rsidR="00A67F32" w:rsidRPr="00CE0F51" w:rsidRDefault="00EA2ED5" w:rsidP="0075050A">
            <w:pPr>
              <w:pStyle w:val="NoSpacing"/>
              <w:ind w:right="-108"/>
              <w:rPr>
                <w:rFonts w:cs="Calibri"/>
              </w:rPr>
            </w:pPr>
            <w:r>
              <w:rPr>
                <w:rFonts w:cs="Calibri"/>
              </w:rPr>
              <w:t>No other</w:t>
            </w:r>
            <w:r w:rsidR="002827CA">
              <w:rPr>
                <w:rFonts w:cs="Calibri"/>
              </w:rPr>
              <w:t xml:space="preserve"> </w:t>
            </w:r>
            <w:r w:rsidR="00A67F32" w:rsidRPr="00DD45AD">
              <w:rPr>
                <w:rFonts w:cs="Calibri"/>
                <w:b/>
              </w:rPr>
              <w:t>perceived, potential or actual</w:t>
            </w:r>
            <w:r w:rsidR="00A67F32">
              <w:rPr>
                <w:rFonts w:cs="Calibri"/>
              </w:rPr>
              <w:t xml:space="preserve"> </w:t>
            </w:r>
            <w:r w:rsidR="00A67F32" w:rsidRPr="00CE0F51">
              <w:rPr>
                <w:rFonts w:cs="Calibri"/>
              </w:rPr>
              <w:t xml:space="preserve">conflicts of interest </w:t>
            </w:r>
            <w:r>
              <w:rPr>
                <w:rFonts w:cs="Calibri"/>
              </w:rPr>
              <w:t>decla</w:t>
            </w:r>
            <w:r w:rsidR="001650CE">
              <w:rPr>
                <w:rFonts w:cs="Calibri"/>
              </w:rPr>
              <w:t xml:space="preserve">red </w:t>
            </w:r>
            <w:r w:rsidR="00A67F32" w:rsidRPr="00CE0F51">
              <w:rPr>
                <w:rFonts w:cs="Calibri"/>
              </w:rPr>
              <w:t xml:space="preserve">under the terms of </w:t>
            </w:r>
            <w:r w:rsidR="00A67F32">
              <w:rPr>
                <w:rFonts w:cs="Calibri"/>
              </w:rPr>
              <w:t>Section 8</w:t>
            </w:r>
            <w:r w:rsidR="00A67F32" w:rsidRPr="00CE0F51">
              <w:rPr>
                <w:rFonts w:cs="Calibri"/>
              </w:rPr>
              <w:t xml:space="preserve">.1 of the Belfast Metropolitan College Governing Body Standing Orders </w:t>
            </w:r>
            <w:r w:rsidR="00A67F32" w:rsidRPr="00E3447D">
              <w:rPr>
                <w:rFonts w:cs="Calibri"/>
                <w:b/>
                <w:bCs/>
                <w:color w:val="FF000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V5</w:t>
            </w:r>
            <w:r w:rsidR="00A67F32">
              <w:rPr>
                <w:rFonts w:cs="Calibri"/>
              </w:rPr>
              <w:t xml:space="preserve"> dated June 2022 (</w:t>
            </w:r>
            <w:r w:rsidR="00A67F32" w:rsidRPr="00C45919">
              <w:rPr>
                <w:rFonts w:cs="Calibri"/>
                <w:b/>
                <w:bCs/>
              </w:rPr>
              <w:t>GB81a 21/22 22 June 2022</w:t>
            </w:r>
            <w:r w:rsidR="00A67F32">
              <w:rPr>
                <w:rFonts w:cs="Calibri"/>
              </w:rPr>
              <w:t>)</w:t>
            </w:r>
            <w:r w:rsidR="002827CA">
              <w:rPr>
                <w:rFonts w:cs="Calibri"/>
              </w:rPr>
              <w:t>.</w:t>
            </w:r>
          </w:p>
          <w:p w14:paraId="10947E53" w14:textId="77777777" w:rsidR="00A67F32" w:rsidRPr="00CE0F51" w:rsidRDefault="00A67F32" w:rsidP="0075050A">
            <w:pPr>
              <w:rPr>
                <w:rFonts w:cs="Arial"/>
              </w:rPr>
            </w:pPr>
          </w:p>
          <w:p w14:paraId="2BBEF46B" w14:textId="510BE9BE" w:rsidR="00A67F32" w:rsidRPr="00AB6E1A" w:rsidRDefault="00A67F32" w:rsidP="0075050A">
            <w:pPr>
              <w:rPr>
                <w:rFonts w:cs="Arial"/>
              </w:rPr>
            </w:pPr>
            <w:r w:rsidRPr="00CE0F51">
              <w:rPr>
                <w:rFonts w:cs="Arial"/>
                <w:b/>
              </w:rPr>
              <w:t>AOB:</w:t>
            </w:r>
            <w:r w:rsidRPr="00CE0F51">
              <w:rPr>
                <w:rFonts w:cs="Arial"/>
              </w:rPr>
              <w:t xml:space="preserve"> No Items of A</w:t>
            </w:r>
            <w:r>
              <w:rPr>
                <w:rFonts w:cs="Arial"/>
              </w:rPr>
              <w:t xml:space="preserve">OB </w:t>
            </w:r>
            <w:r w:rsidR="002827CA">
              <w:rPr>
                <w:rFonts w:cs="Arial"/>
              </w:rPr>
              <w:t>advised</w:t>
            </w:r>
            <w:r w:rsidR="00EA2ED5">
              <w:rPr>
                <w:rFonts w:cs="Arial"/>
              </w:rPr>
              <w:t>.</w:t>
            </w:r>
          </w:p>
          <w:p w14:paraId="57B38489" w14:textId="77777777" w:rsidR="00A67F32" w:rsidRPr="008B0573" w:rsidRDefault="00A67F32" w:rsidP="0075050A">
            <w:pPr>
              <w:rPr>
                <w:rFonts w:cs="Arial"/>
              </w:rPr>
            </w:pPr>
          </w:p>
          <w:p w14:paraId="1CF0698B" w14:textId="22C94BA3" w:rsidR="00A67F32" w:rsidRDefault="00A67F32" w:rsidP="0075050A">
            <w:pPr>
              <w:rPr>
                <w:rFonts w:cstheme="minorHAnsi"/>
                <w:bCs/>
              </w:rPr>
            </w:pPr>
            <w:r>
              <w:rPr>
                <w:b/>
              </w:rPr>
              <w:t>Leadership Culture:</w:t>
            </w:r>
            <w:r>
              <w:t xml:space="preserve"> </w:t>
            </w:r>
            <w:r w:rsidR="00B23E1F">
              <w:t xml:space="preserve">The </w:t>
            </w:r>
            <w:r>
              <w:t>Chair</w:t>
            </w:r>
            <w:r w:rsidR="00B23E1F">
              <w:t xml:space="preserve"> </w:t>
            </w:r>
            <w:r w:rsidR="001650CE" w:rsidRPr="00B754EA">
              <w:rPr>
                <w:b/>
                <w:bCs/>
                <w:u w:val="single"/>
              </w:rPr>
              <w:t>noted</w:t>
            </w:r>
            <w:r>
              <w:t xml:space="preserve"> our commitment to Governing Body Leadership Culture Watchwords </w:t>
            </w:r>
            <w:r>
              <w:rPr>
                <w:rFonts w:cstheme="minorHAnsi"/>
                <w:bCs/>
              </w:rPr>
              <w:t>(</w:t>
            </w:r>
            <w:r w:rsidRPr="00321F6E">
              <w:rPr>
                <w:rFonts w:cstheme="minorHAnsi"/>
                <w:b/>
              </w:rPr>
              <w:t>GB02d 22/23 21 September 2022</w:t>
            </w:r>
            <w:r>
              <w:rPr>
                <w:rFonts w:cstheme="minorHAnsi"/>
                <w:bCs/>
              </w:rPr>
              <w:t xml:space="preserve"> refers):</w:t>
            </w:r>
          </w:p>
          <w:p w14:paraId="4E0DB0F1" w14:textId="77777777" w:rsidR="00A67F32" w:rsidRDefault="00A67F32" w:rsidP="0075050A"/>
          <w:p w14:paraId="76A01D94" w14:textId="25FDB037" w:rsidR="00A67F32" w:rsidRPr="00B10316" w:rsidRDefault="00A67F32" w:rsidP="0075050A">
            <w:pPr>
              <w:rPr>
                <w:rFonts w:eastAsia="Times New Roman"/>
              </w:rPr>
            </w:pPr>
            <w:r w:rsidRPr="00033B0C">
              <w:rPr>
                <w:rFonts w:cstheme="minorHAnsi"/>
                <w:bCs/>
              </w:rPr>
              <w:t>Courageous / Creative / Candour / Challenge</w:t>
            </w:r>
            <w:r>
              <w:rPr>
                <w:bCs/>
              </w:rPr>
              <w:t xml:space="preserve">  </w:t>
            </w:r>
            <w:r w:rsidRPr="00A10BF5">
              <w:rPr>
                <w:rFonts w:eastAsia="Times New Roman"/>
              </w:rPr>
              <w:t>(</w:t>
            </w:r>
            <w:r w:rsidRPr="00A10BF5">
              <w:rPr>
                <w:b/>
                <w:color w:val="1F4E79" w:themeColor="accent5" w:themeShade="80"/>
              </w:rPr>
              <w:t>HR</w:t>
            </w:r>
            <w:r w:rsidR="00357122">
              <w:rPr>
                <w:b/>
                <w:color w:val="1F4E79" w:themeColor="accent5" w:themeShade="80"/>
              </w:rPr>
              <w:t>10</w:t>
            </w:r>
            <w:r w:rsidRPr="00A10BF5">
              <w:rPr>
                <w:b/>
                <w:color w:val="1F4E79" w:themeColor="accent5" w:themeShade="80"/>
              </w:rPr>
              <w:t xml:space="preserve"> 2</w:t>
            </w:r>
            <w:r w:rsidR="00357122">
              <w:rPr>
                <w:b/>
                <w:color w:val="1F4E79" w:themeColor="accent5" w:themeShade="80"/>
              </w:rPr>
              <w:t>3</w:t>
            </w:r>
            <w:r w:rsidRPr="00A10BF5">
              <w:rPr>
                <w:b/>
                <w:color w:val="1F4E79" w:themeColor="accent5" w:themeShade="80"/>
              </w:rPr>
              <w:t>/2</w:t>
            </w:r>
            <w:r w:rsidR="00357122">
              <w:rPr>
                <w:b/>
                <w:color w:val="1F4E79" w:themeColor="accent5" w:themeShade="80"/>
              </w:rPr>
              <w:t>4</w:t>
            </w:r>
            <w:r w:rsidRPr="00A10BF5">
              <w:rPr>
                <w:b/>
                <w:color w:val="1F4E79" w:themeColor="accent5" w:themeShade="80"/>
              </w:rPr>
              <w:t xml:space="preserve"> </w:t>
            </w:r>
            <w:r w:rsidRPr="00A10BF5">
              <w:rPr>
                <w:rFonts w:eastAsia="Times New Roman"/>
              </w:rPr>
              <w:t>below refers)</w:t>
            </w:r>
          </w:p>
        </w:tc>
      </w:tr>
      <w:tr w:rsidR="00A67F32" w:rsidRPr="00CE0F51" w14:paraId="05836247" w14:textId="77777777" w:rsidTr="00E02596">
        <w:tc>
          <w:tcPr>
            <w:tcW w:w="1844" w:type="dxa"/>
          </w:tcPr>
          <w:p w14:paraId="2D090B5C" w14:textId="156AAE23" w:rsidR="00A67F32" w:rsidRDefault="00A67F32" w:rsidP="0075050A">
            <w:pPr>
              <w:rPr>
                <w:b/>
              </w:rPr>
            </w:pPr>
            <w:r>
              <w:rPr>
                <w:b/>
                <w:color w:val="1F4E79" w:themeColor="accent5" w:themeShade="80"/>
              </w:rPr>
              <w:lastRenderedPageBreak/>
              <w:t>HR</w:t>
            </w:r>
            <w:r w:rsidR="00BF6EC6">
              <w:rPr>
                <w:b/>
                <w:color w:val="1F4E79" w:themeColor="accent5" w:themeShade="80"/>
              </w:rPr>
              <w:t>02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BF6EC6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BF6EC6">
              <w:rPr>
                <w:b/>
                <w:color w:val="1F4E79" w:themeColor="accent5" w:themeShade="80"/>
              </w:rPr>
              <w:t>4</w:t>
            </w:r>
          </w:p>
          <w:p w14:paraId="4F05814B" w14:textId="77777777" w:rsidR="00A67F32" w:rsidRPr="002E27B3" w:rsidRDefault="00A67F32" w:rsidP="0075050A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8221" w:type="dxa"/>
          </w:tcPr>
          <w:p w14:paraId="60036A96" w14:textId="211E9CC9" w:rsidR="00A67F32" w:rsidRDefault="00A67F32" w:rsidP="006C7956">
            <w:pPr>
              <w:rPr>
                <w:b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</w:t>
            </w:r>
            <w:r w:rsidR="00BF6EC6">
              <w:rPr>
                <w:b/>
              </w:rPr>
              <w:t>2</w:t>
            </w:r>
            <w:r>
              <w:rPr>
                <w:b/>
              </w:rPr>
              <w:t>3 Ma</w:t>
            </w:r>
            <w:r w:rsidR="00BF6EC6">
              <w:rPr>
                <w:b/>
              </w:rPr>
              <w:t>y</w:t>
            </w:r>
            <w:r>
              <w:rPr>
                <w:b/>
              </w:rPr>
              <w:t xml:space="preserve"> 2023 - </w:t>
            </w:r>
            <w:r w:rsidRPr="00B9015D">
              <w:rPr>
                <w:b/>
                <w:color w:val="BF8F00" w:themeColor="accent4" w:themeShade="BF"/>
              </w:rPr>
              <w:t>Draft (Proposed Final</w:t>
            </w:r>
            <w:r w:rsidRPr="00E82A50">
              <w:rPr>
                <w:b/>
                <w:color w:val="FFC000"/>
              </w:rPr>
              <w:t>)</w:t>
            </w:r>
            <w:r>
              <w:rPr>
                <w:b/>
              </w:rPr>
              <w:t xml:space="preserve"> </w:t>
            </w:r>
          </w:p>
          <w:p w14:paraId="7E1CE5B0" w14:textId="604D7A07" w:rsidR="00A67F32" w:rsidRPr="00DA6BA9" w:rsidRDefault="00A67F32" w:rsidP="0075050A">
            <w:r>
              <w:t>The Committee</w:t>
            </w:r>
            <w:r w:rsidR="00BF6EC6">
              <w:t xml:space="preserve"> </w:t>
            </w:r>
            <w:r w:rsidRPr="00F42DA0">
              <w:rPr>
                <w:b/>
                <w:bCs/>
                <w:u w:val="single"/>
              </w:rPr>
              <w:t>approve</w:t>
            </w:r>
            <w:r w:rsidR="000431C4">
              <w:rPr>
                <w:b/>
                <w:bCs/>
                <w:u w:val="single"/>
              </w:rPr>
              <w:t>d</w:t>
            </w:r>
            <w:r w:rsidRPr="00DA6BA9">
              <w:t xml:space="preserve"> </w:t>
            </w:r>
            <w:r w:rsidRPr="00E3447D">
              <w:rPr>
                <w:b/>
                <w:bCs/>
                <w:color w:val="806000" w:themeColor="accent4" w:themeShade="80"/>
              </w:rPr>
              <w:t xml:space="preserve">the Draft (Proposed Final) </w:t>
            </w:r>
            <w:r w:rsidRPr="00DA6BA9">
              <w:t>minutes</w:t>
            </w:r>
            <w:r>
              <w:t xml:space="preserve"> of the meeting held on </w:t>
            </w:r>
            <w:r w:rsidR="00BF6EC6">
              <w:t>2</w:t>
            </w:r>
            <w:r>
              <w:t>3 Ma</w:t>
            </w:r>
            <w:r w:rsidR="00BF6EC6">
              <w:t>y</w:t>
            </w:r>
            <w:r>
              <w:t xml:space="preserve"> 2023</w:t>
            </w:r>
            <w:r w:rsidR="00BF6EC6">
              <w:t>.</w:t>
            </w:r>
          </w:p>
          <w:p w14:paraId="35A4920A" w14:textId="511304E6" w:rsidR="00EA2ED5" w:rsidRPr="00CE0F51" w:rsidRDefault="00EA2ED5" w:rsidP="000431C4">
            <w:pPr>
              <w:rPr>
                <w:b/>
              </w:rPr>
            </w:pPr>
          </w:p>
        </w:tc>
      </w:tr>
      <w:tr w:rsidR="00A67F32" w:rsidRPr="00CE0F51" w14:paraId="77DD0EC1" w14:textId="77777777" w:rsidTr="00E02596">
        <w:tc>
          <w:tcPr>
            <w:tcW w:w="1844" w:type="dxa"/>
          </w:tcPr>
          <w:p w14:paraId="1C5DECB3" w14:textId="1CDDB173" w:rsidR="00A67F32" w:rsidRDefault="00A67F32" w:rsidP="0075050A">
            <w:pPr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905ADF">
              <w:rPr>
                <w:b/>
                <w:color w:val="1F4E79" w:themeColor="accent5" w:themeShade="80"/>
              </w:rPr>
              <w:t>03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0B6AB1B9" w14:textId="77777777" w:rsidR="00A67F32" w:rsidRPr="002E27B3" w:rsidRDefault="00A67F32" w:rsidP="0075050A">
            <w:pPr>
              <w:rPr>
                <w:b/>
                <w:color w:val="1F4E79" w:themeColor="accent5" w:themeShade="80"/>
              </w:rPr>
            </w:pPr>
            <w:r w:rsidRPr="00502F38">
              <w:rPr>
                <w:b/>
              </w:rPr>
              <w:t>Chair</w:t>
            </w:r>
          </w:p>
        </w:tc>
        <w:tc>
          <w:tcPr>
            <w:tcW w:w="8221" w:type="dxa"/>
          </w:tcPr>
          <w:p w14:paraId="43E5B985" w14:textId="3D2E309F" w:rsidR="00A67F32" w:rsidRDefault="00A67F32" w:rsidP="0075050A">
            <w:pPr>
              <w:rPr>
                <w:b/>
              </w:rPr>
            </w:pPr>
            <w:r w:rsidRPr="00CE0F51">
              <w:rPr>
                <w:b/>
              </w:rPr>
              <w:t>Matters Arising from the m</w:t>
            </w:r>
            <w:r>
              <w:rPr>
                <w:b/>
              </w:rPr>
              <w:t xml:space="preserve">inutes of the meeting held on </w:t>
            </w:r>
            <w:r w:rsidR="00BF6EC6">
              <w:rPr>
                <w:b/>
              </w:rPr>
              <w:t>2</w:t>
            </w:r>
            <w:r>
              <w:rPr>
                <w:b/>
              </w:rPr>
              <w:t>3 Ma</w:t>
            </w:r>
            <w:r w:rsidR="00BF6EC6">
              <w:rPr>
                <w:b/>
              </w:rPr>
              <w:t>y</w:t>
            </w:r>
            <w:r>
              <w:rPr>
                <w:b/>
              </w:rPr>
              <w:t xml:space="preserve"> 2023</w:t>
            </w:r>
          </w:p>
          <w:p w14:paraId="3505191F" w14:textId="77777777" w:rsidR="001262F7" w:rsidRPr="006C7956" w:rsidRDefault="001262F7" w:rsidP="0075050A">
            <w:pPr>
              <w:rPr>
                <w:b/>
              </w:rPr>
            </w:pPr>
          </w:p>
          <w:p w14:paraId="1109C5AB" w14:textId="30FD9030" w:rsidR="00A67F32" w:rsidRDefault="00A67F32" w:rsidP="00E3447D">
            <w:r w:rsidRPr="007C79B9">
              <w:rPr>
                <w:bCs/>
              </w:rPr>
              <w:t>No</w:t>
            </w:r>
            <w:r>
              <w:t xml:space="preserve"> matters arising from the meeting held on </w:t>
            </w:r>
            <w:r w:rsidR="00BF6EC6">
              <w:t>2</w:t>
            </w:r>
            <w:r>
              <w:t>3 Ma</w:t>
            </w:r>
            <w:r w:rsidR="00BF6EC6">
              <w:t>y</w:t>
            </w:r>
            <w:r>
              <w:t xml:space="preserve"> 2023 not </w:t>
            </w:r>
            <w:r w:rsidR="00506D54">
              <w:t xml:space="preserve">already </w:t>
            </w:r>
            <w:r>
              <w:t>on this agenda.</w:t>
            </w:r>
          </w:p>
          <w:p w14:paraId="45EEDE90" w14:textId="1FA17B74" w:rsidR="001262F7" w:rsidRPr="00CE0F51" w:rsidRDefault="001262F7" w:rsidP="00E3447D">
            <w:pPr>
              <w:rPr>
                <w:b/>
              </w:rPr>
            </w:pPr>
          </w:p>
        </w:tc>
      </w:tr>
      <w:tr w:rsidR="00E3447D" w14:paraId="5013E88F" w14:textId="77777777" w:rsidTr="00905E6F">
        <w:tc>
          <w:tcPr>
            <w:tcW w:w="1844" w:type="dxa"/>
          </w:tcPr>
          <w:p w14:paraId="2B08B9F3" w14:textId="7726BFDD" w:rsidR="00E3447D" w:rsidRPr="002E27B3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905ADF">
              <w:rPr>
                <w:b/>
                <w:color w:val="1F4E79" w:themeColor="accent5" w:themeShade="80"/>
              </w:rPr>
              <w:t>04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08D26F9B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0C103600" w14:textId="77777777" w:rsidR="00E3447D" w:rsidRPr="00E24E9E" w:rsidRDefault="00E3447D" w:rsidP="0075050A">
            <w:pPr>
              <w:tabs>
                <w:tab w:val="right" w:pos="9026"/>
              </w:tabs>
              <w:rPr>
                <w:bCs/>
                <w:color w:val="1F4E79" w:themeColor="accent5" w:themeShade="80"/>
              </w:rPr>
            </w:pPr>
            <w:r w:rsidRPr="008C54E3">
              <w:rPr>
                <w:b/>
              </w:rPr>
              <w:t>Clerk</w:t>
            </w:r>
          </w:p>
        </w:tc>
        <w:tc>
          <w:tcPr>
            <w:tcW w:w="8221" w:type="dxa"/>
          </w:tcPr>
          <w:p w14:paraId="64F44350" w14:textId="77777777" w:rsidR="00E3447D" w:rsidRPr="00650A30" w:rsidRDefault="00E3447D" w:rsidP="0075050A">
            <w:pPr>
              <w:rPr>
                <w:b/>
              </w:rPr>
            </w:pPr>
            <w:r w:rsidRPr="00650A30">
              <w:rPr>
                <w:b/>
              </w:rPr>
              <w:t>Governance Guidance and Information</w:t>
            </w:r>
          </w:p>
          <w:p w14:paraId="09C73F70" w14:textId="77777777" w:rsidR="00E3447D" w:rsidRDefault="00E3447D" w:rsidP="0075050A"/>
          <w:p w14:paraId="750F39F0" w14:textId="77777777" w:rsidR="006B0C36" w:rsidRPr="009F05DD" w:rsidRDefault="006B0C36" w:rsidP="006B0C36">
            <w:pPr>
              <w:rPr>
                <w:rFonts w:cs="Arial"/>
              </w:rPr>
            </w:pPr>
            <w:r w:rsidRPr="000111B3">
              <w:rPr>
                <w:bCs/>
              </w:rPr>
              <w:t>None advised as at date of</w:t>
            </w:r>
            <w:r>
              <w:rPr>
                <w:bCs/>
              </w:rPr>
              <w:t xml:space="preserve"> meeting. </w:t>
            </w:r>
          </w:p>
          <w:p w14:paraId="1ED0ECAA" w14:textId="77777777" w:rsidR="00E3447D" w:rsidRPr="003A0E39" w:rsidRDefault="00E3447D" w:rsidP="0075050A"/>
        </w:tc>
      </w:tr>
      <w:tr w:rsidR="00E3447D" w14:paraId="26FEBF06" w14:textId="77777777" w:rsidTr="00905E6F">
        <w:tc>
          <w:tcPr>
            <w:tcW w:w="1844" w:type="dxa"/>
          </w:tcPr>
          <w:p w14:paraId="26CD95A2" w14:textId="7B3F5474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905ADF">
              <w:rPr>
                <w:b/>
                <w:color w:val="1F4E79" w:themeColor="accent5" w:themeShade="80"/>
              </w:rPr>
              <w:t xml:space="preserve">05 </w:t>
            </w:r>
            <w:r>
              <w:rPr>
                <w:b/>
                <w:color w:val="1F4E79" w:themeColor="accent5" w:themeShade="80"/>
              </w:rPr>
              <w:t>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  <w:r w:rsidRPr="002E27B3">
              <w:rPr>
                <w:b/>
                <w:color w:val="1F4E79" w:themeColor="accent5" w:themeShade="80"/>
              </w:rPr>
              <w:t xml:space="preserve">  </w:t>
            </w:r>
          </w:p>
          <w:p w14:paraId="2B44D0C3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37F23FF8" w14:textId="6D6E11D1" w:rsidR="00F8015E" w:rsidRDefault="00F8015E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 w:rsidRPr="00F8015E">
              <w:rPr>
                <w:b/>
              </w:rPr>
              <w:t>Clerk</w:t>
            </w:r>
          </w:p>
        </w:tc>
        <w:tc>
          <w:tcPr>
            <w:tcW w:w="8221" w:type="dxa"/>
          </w:tcPr>
          <w:p w14:paraId="638CD7F2" w14:textId="77777777" w:rsidR="00E3447D" w:rsidRDefault="00E3447D" w:rsidP="0075050A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E3447D">
              <w:rPr>
                <w:b/>
                <w:color w:val="FF000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V5</w:t>
            </w:r>
            <w:r w:rsidRPr="00E3447D">
              <w:rPr>
                <w:b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>
              <w:rPr>
                <w:b/>
              </w:rPr>
              <w:t>22 June 2022</w:t>
            </w:r>
          </w:p>
          <w:p w14:paraId="2D454A5D" w14:textId="77777777" w:rsidR="00E3447D" w:rsidRDefault="00E3447D" w:rsidP="0075050A">
            <w:pPr>
              <w:rPr>
                <w:b/>
              </w:rPr>
            </w:pPr>
          </w:p>
          <w:p w14:paraId="56429764" w14:textId="444BAF1C" w:rsidR="00E3447D" w:rsidRPr="009F05DD" w:rsidRDefault="00E3447D" w:rsidP="0075050A">
            <w:pPr>
              <w:rPr>
                <w:rFonts w:cs="Arial"/>
              </w:rPr>
            </w:pPr>
            <w:r w:rsidRPr="000111B3">
              <w:rPr>
                <w:bCs/>
              </w:rPr>
              <w:t>None advised as at date of</w:t>
            </w:r>
            <w:r w:rsidR="006B0C36">
              <w:rPr>
                <w:bCs/>
              </w:rPr>
              <w:t xml:space="preserve"> meeting. </w:t>
            </w:r>
          </w:p>
          <w:p w14:paraId="53B6CDB7" w14:textId="77777777" w:rsidR="00E3447D" w:rsidRPr="00650A30" w:rsidRDefault="00E3447D" w:rsidP="0075050A">
            <w:pPr>
              <w:rPr>
                <w:b/>
              </w:rPr>
            </w:pPr>
          </w:p>
        </w:tc>
      </w:tr>
      <w:tr w:rsidR="00E3447D" w14:paraId="75BCAFCD" w14:textId="77777777" w:rsidTr="00905E6F">
        <w:tc>
          <w:tcPr>
            <w:tcW w:w="1844" w:type="dxa"/>
          </w:tcPr>
          <w:p w14:paraId="262CA6B2" w14:textId="78CE724E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905ADF">
              <w:rPr>
                <w:b/>
                <w:color w:val="1F4E79" w:themeColor="accent5" w:themeShade="80"/>
              </w:rPr>
              <w:t>06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  <w:r w:rsidRPr="002E27B3">
              <w:rPr>
                <w:b/>
                <w:color w:val="1F4E79" w:themeColor="accent5" w:themeShade="80"/>
              </w:rPr>
              <w:t xml:space="preserve">  </w:t>
            </w:r>
          </w:p>
          <w:p w14:paraId="2EB61C10" w14:textId="77777777" w:rsidR="00F2032A" w:rsidRDefault="00F2032A" w:rsidP="0075050A">
            <w:pPr>
              <w:tabs>
                <w:tab w:val="right" w:pos="9026"/>
              </w:tabs>
              <w:rPr>
                <w:b/>
              </w:rPr>
            </w:pPr>
          </w:p>
          <w:p w14:paraId="1A03C765" w14:textId="75934B21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  <w:r w:rsidRPr="008C54E3">
              <w:rPr>
                <w:b/>
              </w:rPr>
              <w:t>Chair</w:t>
            </w:r>
          </w:p>
          <w:p w14:paraId="1E05212B" w14:textId="77777777" w:rsidR="00E3447D" w:rsidRPr="00927F72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</w:tc>
        <w:tc>
          <w:tcPr>
            <w:tcW w:w="8221" w:type="dxa"/>
          </w:tcPr>
          <w:p w14:paraId="45D6404B" w14:textId="77777777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476D56A3" w14:textId="77777777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</w:p>
          <w:p w14:paraId="44ACE2B0" w14:textId="6AB86B2E" w:rsidR="00F2032A" w:rsidRDefault="006B0C36" w:rsidP="00F2032A">
            <w:pPr>
              <w:rPr>
                <w:rFonts w:cs="Arial"/>
                <w:b/>
                <w:bCs/>
              </w:rPr>
            </w:pPr>
            <w:r>
              <w:t>No new items reported.</w:t>
            </w:r>
          </w:p>
          <w:p w14:paraId="48A17971" w14:textId="77777777" w:rsidR="00E3447D" w:rsidRDefault="00E3447D" w:rsidP="00667CC4"/>
        </w:tc>
      </w:tr>
      <w:tr w:rsidR="00E3447D" w14:paraId="2F84D29C" w14:textId="77777777" w:rsidTr="00905E6F">
        <w:tc>
          <w:tcPr>
            <w:tcW w:w="1844" w:type="dxa"/>
          </w:tcPr>
          <w:p w14:paraId="62B13DD0" w14:textId="54151EEB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905ADF">
              <w:rPr>
                <w:b/>
                <w:color w:val="1F4E79" w:themeColor="accent5" w:themeShade="80"/>
              </w:rPr>
              <w:t>07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449D3598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5E1DEAAC" w14:textId="11A9290A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HHR</w:t>
            </w:r>
          </w:p>
          <w:p w14:paraId="034FFFAB" w14:textId="77777777" w:rsidR="00BA762E" w:rsidRDefault="00BA762E" w:rsidP="0075050A">
            <w:pPr>
              <w:tabs>
                <w:tab w:val="right" w:pos="9026"/>
              </w:tabs>
              <w:rPr>
                <w:b/>
              </w:rPr>
            </w:pPr>
          </w:p>
          <w:p w14:paraId="3CC0BC40" w14:textId="77777777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</w:p>
          <w:p w14:paraId="4902AF14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07036537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</w:tc>
        <w:tc>
          <w:tcPr>
            <w:tcW w:w="8221" w:type="dxa"/>
          </w:tcPr>
          <w:p w14:paraId="284EA561" w14:textId="2B2DCEF9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Performance Management Reports as at Q</w:t>
            </w:r>
            <w:r w:rsidR="00647119">
              <w:rPr>
                <w:b/>
              </w:rPr>
              <w:t>4</w:t>
            </w:r>
            <w:r>
              <w:rPr>
                <w:b/>
              </w:rPr>
              <w:t xml:space="preserve"> 2022/23</w:t>
            </w:r>
          </w:p>
          <w:p w14:paraId="6C2B4F21" w14:textId="77777777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</w:p>
          <w:p w14:paraId="6743FB20" w14:textId="4B282A67" w:rsidR="00BD5774" w:rsidRDefault="00A12C51" w:rsidP="0075050A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Management advised the Committee </w:t>
            </w:r>
            <w:r w:rsidR="004D4D6F">
              <w:rPr>
                <w:bCs/>
              </w:rPr>
              <w:t>on the key issues as follow</w:t>
            </w:r>
            <w:r w:rsidR="008C6978">
              <w:rPr>
                <w:bCs/>
              </w:rPr>
              <w:t>s</w:t>
            </w:r>
            <w:r w:rsidR="006A3D72">
              <w:rPr>
                <w:bCs/>
              </w:rPr>
              <w:t xml:space="preserve"> and are c</w:t>
            </w:r>
            <w:r w:rsidR="004D4D6F">
              <w:rPr>
                <w:bCs/>
              </w:rPr>
              <w:t>ontent to</w:t>
            </w:r>
            <w:r w:rsidR="0011605C">
              <w:rPr>
                <w:bCs/>
              </w:rPr>
              <w:t xml:space="preserve"> continue to</w:t>
            </w:r>
            <w:r w:rsidR="004D4D6F">
              <w:rPr>
                <w:bCs/>
              </w:rPr>
              <w:t xml:space="preserve"> develop these reports as the Committee </w:t>
            </w:r>
            <w:r w:rsidR="0011605C">
              <w:rPr>
                <w:bCs/>
              </w:rPr>
              <w:t>requires.</w:t>
            </w:r>
          </w:p>
          <w:p w14:paraId="43E10479" w14:textId="77777777" w:rsidR="00C26791" w:rsidRPr="00A12C51" w:rsidRDefault="00C26791" w:rsidP="0075050A">
            <w:pPr>
              <w:tabs>
                <w:tab w:val="right" w:pos="9026"/>
              </w:tabs>
              <w:rPr>
                <w:bCs/>
              </w:rPr>
            </w:pPr>
          </w:p>
          <w:p w14:paraId="1FC27DF1" w14:textId="24C0A7DF" w:rsidR="00647119" w:rsidRDefault="00647119" w:rsidP="00647119">
            <w:pPr>
              <w:pStyle w:val="ListParagraph"/>
              <w:numPr>
                <w:ilvl w:val="0"/>
                <w:numId w:val="1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Metrics</w:t>
            </w:r>
            <w:r>
              <w:rPr>
                <w:bCs/>
              </w:rPr>
              <w:t xml:space="preserve"> Report</w:t>
            </w:r>
            <w:r w:rsidR="00DB4081">
              <w:rPr>
                <w:bCs/>
              </w:rPr>
              <w:t xml:space="preserve"> – inc headcount</w:t>
            </w:r>
            <w:r w:rsidR="002B2F12">
              <w:rPr>
                <w:bCs/>
              </w:rPr>
              <w:t xml:space="preserve"> inc agency staff with changes expected </w:t>
            </w:r>
            <w:r w:rsidR="008C6978">
              <w:rPr>
                <w:bCs/>
              </w:rPr>
              <w:t>throughout</w:t>
            </w:r>
            <w:r w:rsidR="002B2F12">
              <w:rPr>
                <w:bCs/>
              </w:rPr>
              <w:t xml:space="preserve"> the year </w:t>
            </w:r>
            <w:r w:rsidR="00B00C57">
              <w:rPr>
                <w:bCs/>
              </w:rPr>
              <w:t>in line with</w:t>
            </w:r>
            <w:r w:rsidR="002B2F12">
              <w:rPr>
                <w:bCs/>
              </w:rPr>
              <w:t xml:space="preserve"> budget constraints</w:t>
            </w:r>
            <w:r w:rsidRPr="005B40E7">
              <w:rPr>
                <w:bCs/>
              </w:rPr>
              <w:t>;</w:t>
            </w:r>
            <w:r w:rsidR="00B00C57">
              <w:rPr>
                <w:bCs/>
              </w:rPr>
              <w:t xml:space="preserve"> </w:t>
            </w:r>
            <w:r w:rsidR="00C314B2">
              <w:rPr>
                <w:bCs/>
              </w:rPr>
              <w:t xml:space="preserve">steady increase in sickness </w:t>
            </w:r>
            <w:r w:rsidR="00F05AB3">
              <w:rPr>
                <w:bCs/>
              </w:rPr>
              <w:t>absence</w:t>
            </w:r>
            <w:r w:rsidR="00AC2825">
              <w:rPr>
                <w:bCs/>
              </w:rPr>
              <w:t xml:space="preserve"> and outlined </w:t>
            </w:r>
            <w:r w:rsidR="00EC4925">
              <w:rPr>
                <w:bCs/>
              </w:rPr>
              <w:t xml:space="preserve">support for staff provided and HR </w:t>
            </w:r>
            <w:r w:rsidR="00AC2825">
              <w:rPr>
                <w:bCs/>
              </w:rPr>
              <w:t>actions being taken;</w:t>
            </w:r>
            <w:r w:rsidR="006B0282">
              <w:rPr>
                <w:bCs/>
              </w:rPr>
              <w:t xml:space="preserve"> </w:t>
            </w:r>
            <w:r w:rsidR="00545B8F">
              <w:rPr>
                <w:bCs/>
              </w:rPr>
              <w:t xml:space="preserve">Counselling Services; </w:t>
            </w:r>
            <w:r w:rsidR="006B0282">
              <w:rPr>
                <w:bCs/>
              </w:rPr>
              <w:t>Turnover; Recruitment</w:t>
            </w:r>
            <w:r w:rsidR="006A3D72">
              <w:rPr>
                <w:bCs/>
              </w:rPr>
              <w:t>.</w:t>
            </w:r>
          </w:p>
          <w:p w14:paraId="044B6A87" w14:textId="621A62A4" w:rsidR="00647119" w:rsidRDefault="00647119" w:rsidP="00647119">
            <w:pPr>
              <w:pStyle w:val="ListParagraph"/>
              <w:numPr>
                <w:ilvl w:val="0"/>
                <w:numId w:val="1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Resourcing</w:t>
            </w:r>
            <w:r>
              <w:rPr>
                <w:bCs/>
              </w:rPr>
              <w:t xml:space="preserve"> Report</w:t>
            </w:r>
            <w:r w:rsidR="006A3D72">
              <w:rPr>
                <w:bCs/>
              </w:rPr>
              <w:t>.</w:t>
            </w:r>
          </w:p>
          <w:p w14:paraId="5C427A8F" w14:textId="6A477C25" w:rsidR="00647119" w:rsidRDefault="00647119" w:rsidP="00647119">
            <w:pPr>
              <w:pStyle w:val="ListParagraph"/>
              <w:numPr>
                <w:ilvl w:val="0"/>
                <w:numId w:val="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Centre for Excellence Report</w:t>
            </w:r>
            <w:r w:rsidR="006A3D72">
              <w:rPr>
                <w:bCs/>
              </w:rPr>
              <w:t xml:space="preserve"> including </w:t>
            </w:r>
            <w:r w:rsidR="00CE2487">
              <w:rPr>
                <w:bCs/>
              </w:rPr>
              <w:t xml:space="preserve">the overarching </w:t>
            </w:r>
            <w:r w:rsidR="00DF1D4B">
              <w:rPr>
                <w:bCs/>
              </w:rPr>
              <w:t xml:space="preserve">end of year report </w:t>
            </w:r>
            <w:r w:rsidR="00D33678">
              <w:rPr>
                <w:bCs/>
              </w:rPr>
              <w:t>and</w:t>
            </w:r>
            <w:r w:rsidR="008C6978">
              <w:rPr>
                <w:bCs/>
              </w:rPr>
              <w:t xml:space="preserve"> </w:t>
            </w:r>
            <w:r w:rsidR="00743542">
              <w:rPr>
                <w:bCs/>
              </w:rPr>
              <w:t>key work for 23/24</w:t>
            </w:r>
            <w:r w:rsidR="000E592D">
              <w:rPr>
                <w:bCs/>
              </w:rPr>
              <w:t xml:space="preserve"> including</w:t>
            </w:r>
            <w:r w:rsidR="00501C97">
              <w:rPr>
                <w:bCs/>
              </w:rPr>
              <w:t xml:space="preserve"> AI, induction, manager support programme, on</w:t>
            </w:r>
            <w:r w:rsidR="007458E0">
              <w:rPr>
                <w:bCs/>
              </w:rPr>
              <w:t>boarding,</w:t>
            </w:r>
            <w:r w:rsidR="000E592D">
              <w:rPr>
                <w:bCs/>
              </w:rPr>
              <w:t xml:space="preserve"> collaboration projects cross college.</w:t>
            </w:r>
          </w:p>
          <w:p w14:paraId="7D649EA8" w14:textId="62228A24" w:rsidR="00647119" w:rsidRDefault="00647119" w:rsidP="00647119">
            <w:pPr>
              <w:pStyle w:val="ListParagraph"/>
              <w:numPr>
                <w:ilvl w:val="0"/>
                <w:numId w:val="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Employee Relations Report</w:t>
            </w:r>
            <w:r w:rsidR="006A3D72">
              <w:rPr>
                <w:bCs/>
              </w:rPr>
              <w:t>.</w:t>
            </w:r>
          </w:p>
          <w:p w14:paraId="0E870728" w14:textId="54CE58F8" w:rsidR="003F7B73" w:rsidRDefault="0093261D" w:rsidP="00647119">
            <w:pPr>
              <w:pStyle w:val="ListParagraph"/>
              <w:numPr>
                <w:ilvl w:val="0"/>
                <w:numId w:val="1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Equality</w:t>
            </w:r>
            <w:r w:rsidR="00672030">
              <w:rPr>
                <w:bCs/>
              </w:rPr>
              <w:t xml:space="preserve"> Reports </w:t>
            </w:r>
            <w:r w:rsidR="0095238E">
              <w:rPr>
                <w:bCs/>
              </w:rPr>
              <w:t>outlined</w:t>
            </w:r>
            <w:r w:rsidR="00432515">
              <w:rPr>
                <w:bCs/>
              </w:rPr>
              <w:t>.   Approved the Section 75 Annual Prog</w:t>
            </w:r>
            <w:r w:rsidR="0095238E">
              <w:rPr>
                <w:bCs/>
              </w:rPr>
              <w:t xml:space="preserve">ress Review - </w:t>
            </w:r>
            <w:r w:rsidR="00402086">
              <w:rPr>
                <w:bCs/>
              </w:rPr>
              <w:t>Statutory Equality and good Relations Duties</w:t>
            </w:r>
            <w:r w:rsidR="00F94E74">
              <w:rPr>
                <w:bCs/>
              </w:rPr>
              <w:t xml:space="preserve"> Annual Progress Report</w:t>
            </w:r>
            <w:r w:rsidR="00702707">
              <w:rPr>
                <w:bCs/>
              </w:rPr>
              <w:t>.</w:t>
            </w:r>
          </w:p>
          <w:p w14:paraId="43E6978F" w14:textId="044F8341" w:rsidR="0059494F" w:rsidRDefault="0059494F" w:rsidP="0059494F">
            <w:pPr>
              <w:tabs>
                <w:tab w:val="right" w:pos="9026"/>
              </w:tabs>
              <w:rPr>
                <w:bCs/>
              </w:rPr>
            </w:pPr>
          </w:p>
          <w:p w14:paraId="65F52DF8" w14:textId="5C03BE39" w:rsidR="00A51405" w:rsidRDefault="00A51405" w:rsidP="00647119">
            <w:pPr>
              <w:tabs>
                <w:tab w:val="right" w:pos="9026"/>
              </w:tabs>
            </w:pPr>
            <w:r>
              <w:t>Th</w:t>
            </w:r>
            <w:r w:rsidR="00B172EF">
              <w:t xml:space="preserve">e Committee </w:t>
            </w:r>
            <w:r w:rsidR="00261D74">
              <w:t xml:space="preserve">discussed the </w:t>
            </w:r>
            <w:r w:rsidR="00B172EF">
              <w:t>following issues:</w:t>
            </w:r>
          </w:p>
          <w:p w14:paraId="3516E2FF" w14:textId="77777777" w:rsidR="00FC6F2C" w:rsidRDefault="00FC6F2C" w:rsidP="00647119">
            <w:pPr>
              <w:tabs>
                <w:tab w:val="right" w:pos="9026"/>
              </w:tabs>
            </w:pPr>
          </w:p>
          <w:p w14:paraId="3F1F3029" w14:textId="5457F777" w:rsidR="00261D74" w:rsidRDefault="00261D74" w:rsidP="00D6684F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</w:pPr>
            <w:r>
              <w:t>Current college arrangement for hybrid working</w:t>
            </w:r>
            <w:r w:rsidR="008E2E4B">
              <w:t>.</w:t>
            </w:r>
          </w:p>
          <w:p w14:paraId="5A142386" w14:textId="368FA0F1" w:rsidR="003218A5" w:rsidRDefault="009E3CD2" w:rsidP="00D6684F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</w:pPr>
            <w:r>
              <w:t xml:space="preserve">Sickness Absence comparison with </w:t>
            </w:r>
            <w:r w:rsidR="00E00F80">
              <w:t>NI Public Sector figures</w:t>
            </w:r>
            <w:r>
              <w:t xml:space="preserve"> </w:t>
            </w:r>
            <w:r w:rsidR="00FE5ECF">
              <w:t xml:space="preserve">noted and that </w:t>
            </w:r>
            <w:r>
              <w:t xml:space="preserve">benchmarking </w:t>
            </w:r>
            <w:r w:rsidR="00F73AAD">
              <w:t xml:space="preserve">other NI FE Colleges may be more </w:t>
            </w:r>
            <w:r w:rsidR="003218A5">
              <w:t xml:space="preserve">appropriate.  </w:t>
            </w:r>
            <w:r w:rsidR="00FE5ECF">
              <w:t xml:space="preserve"> HHR reported that</w:t>
            </w:r>
            <w:r w:rsidR="003218A5">
              <w:t xml:space="preserve"> </w:t>
            </w:r>
            <w:r w:rsidR="0064412D">
              <w:t xml:space="preserve">FE </w:t>
            </w:r>
            <w:r w:rsidR="00D7671E">
              <w:t xml:space="preserve">sector </w:t>
            </w:r>
            <w:r w:rsidR="002F4A99">
              <w:t xml:space="preserve">HR </w:t>
            </w:r>
            <w:r w:rsidR="00D7671E">
              <w:t>benchmarking will take place end Sept</w:t>
            </w:r>
            <w:r w:rsidR="0064412D">
              <w:t>ember</w:t>
            </w:r>
            <w:r w:rsidR="00D7671E">
              <w:t xml:space="preserve"> and will report to Committe</w:t>
            </w:r>
            <w:r w:rsidR="0064412D">
              <w:t>e in December</w:t>
            </w:r>
          </w:p>
          <w:p w14:paraId="3DEC115D" w14:textId="77777777" w:rsidR="00B361AD" w:rsidRDefault="002F4A99" w:rsidP="00D6684F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</w:pPr>
            <w:r>
              <w:t xml:space="preserve">Suggested including comparison to pre-Covid </w:t>
            </w:r>
            <w:r w:rsidR="00A369EA">
              <w:t>year in report.</w:t>
            </w:r>
            <w:r w:rsidR="00D85048">
              <w:t xml:space="preserve">  </w:t>
            </w:r>
          </w:p>
          <w:p w14:paraId="43116175" w14:textId="5D99006C" w:rsidR="002F4A99" w:rsidRDefault="00B361AD" w:rsidP="00D6684F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</w:pPr>
            <w:r>
              <w:t xml:space="preserve">Suggested asking </w:t>
            </w:r>
            <w:r w:rsidR="00D85048">
              <w:t>to include recruitment in the sector benchmarking</w:t>
            </w:r>
            <w:r w:rsidR="00E917A4">
              <w:t>.</w:t>
            </w:r>
            <w:r w:rsidR="00D85048">
              <w:t xml:space="preserve"> </w:t>
            </w:r>
            <w:r w:rsidR="00E917A4">
              <w:t xml:space="preserve"> </w:t>
            </w:r>
            <w:r w:rsidR="00D85048">
              <w:t>HHR agreed to take the request to the Sector HR Working Group.</w:t>
            </w:r>
          </w:p>
          <w:p w14:paraId="54116D6B" w14:textId="77777777" w:rsidR="00D6684F" w:rsidRDefault="00852538" w:rsidP="00572769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</w:pPr>
            <w:r>
              <w:lastRenderedPageBreak/>
              <w:t xml:space="preserve">Discussed sickness </w:t>
            </w:r>
            <w:r w:rsidR="008E2E4B">
              <w:t>absence</w:t>
            </w:r>
            <w:r>
              <w:t xml:space="preserve"> and noted </w:t>
            </w:r>
            <w:r w:rsidR="009370FF">
              <w:t xml:space="preserve">there is no requirement for Covid to be reported separately.  </w:t>
            </w:r>
            <w:r w:rsidR="00496DA9">
              <w:t>Will be looking at the current guidance and adapt policies as required.   No change to current mainstream polices.</w:t>
            </w:r>
          </w:p>
          <w:p w14:paraId="130AB91E" w14:textId="77777777" w:rsidR="00D6684F" w:rsidRDefault="0014209D" w:rsidP="00ED489F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</w:pPr>
            <w:r>
              <w:t>Increase of Covid cases discussed.   COO will take comments to the Business Continuity Team.</w:t>
            </w:r>
          </w:p>
          <w:p w14:paraId="74CEC48E" w14:textId="77777777" w:rsidR="00D6684F" w:rsidRDefault="00D73655" w:rsidP="00647119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</w:pPr>
            <w:r>
              <w:t>Use of Aspire Counselling service.</w:t>
            </w:r>
          </w:p>
          <w:p w14:paraId="4BAA1B67" w14:textId="3B102100" w:rsidR="00D36DDF" w:rsidRDefault="00D36DDF" w:rsidP="00647119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</w:pPr>
            <w:r>
              <w:t>Timings of the Staff Development Survey</w:t>
            </w:r>
            <w:r w:rsidR="00D6684F">
              <w:t>.</w:t>
            </w:r>
          </w:p>
          <w:p w14:paraId="2FC07BA5" w14:textId="77777777" w:rsidR="00A51405" w:rsidRDefault="00A51405" w:rsidP="00647119">
            <w:pPr>
              <w:tabs>
                <w:tab w:val="right" w:pos="9026"/>
              </w:tabs>
            </w:pPr>
          </w:p>
          <w:p w14:paraId="54879D79" w14:textId="7CC2267A" w:rsidR="00E3447D" w:rsidRDefault="00647119" w:rsidP="0075050A">
            <w:pPr>
              <w:tabs>
                <w:tab w:val="right" w:pos="9026"/>
              </w:tabs>
            </w:pPr>
            <w:r w:rsidRPr="003A0E39">
              <w:t>The C</w:t>
            </w:r>
            <w:r>
              <w:t>ommittee</w:t>
            </w:r>
            <w:r w:rsidRPr="00E84DB5">
              <w:t xml:space="preserve"> </w:t>
            </w:r>
            <w:r w:rsidRPr="00884AD7">
              <w:rPr>
                <w:b/>
                <w:bCs/>
                <w:u w:val="single"/>
              </w:rPr>
              <w:t>note</w:t>
            </w:r>
            <w:r w:rsidR="00AC721E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7147550C" w14:textId="77777777" w:rsidR="00363772" w:rsidRDefault="00363772" w:rsidP="0075050A">
            <w:pPr>
              <w:tabs>
                <w:tab w:val="right" w:pos="9026"/>
              </w:tabs>
              <w:rPr>
                <w:b/>
              </w:rPr>
            </w:pPr>
          </w:p>
          <w:p w14:paraId="6761D30B" w14:textId="77777777" w:rsidR="00363772" w:rsidRDefault="00363772" w:rsidP="00DB4FDA">
            <w:r>
              <w:t>ACTIONS:</w:t>
            </w:r>
          </w:p>
          <w:p w14:paraId="2EEA2F87" w14:textId="3D488BF8" w:rsidR="00363772" w:rsidRDefault="00363772" w:rsidP="00DB4FDA">
            <w:r>
              <w:t xml:space="preserve">HHR </w:t>
            </w:r>
            <w:r w:rsidR="00DB4FDA">
              <w:t>- S</w:t>
            </w:r>
            <w:r>
              <w:t>peak to Sector HE Working Group and propose including recruitment in the benchmarking exercise.</w:t>
            </w:r>
          </w:p>
          <w:p w14:paraId="2AEF2488" w14:textId="7CAE4F37" w:rsidR="00DB4FDA" w:rsidRDefault="00363772" w:rsidP="00DB4FDA">
            <w:r>
              <w:t xml:space="preserve">COO </w:t>
            </w:r>
            <w:r w:rsidR="00DB4FDA">
              <w:t>- Comments</w:t>
            </w:r>
            <w:r w:rsidR="00C865A9">
              <w:t xml:space="preserve"> on Covid </w:t>
            </w:r>
            <w:r w:rsidR="00DB4FDA">
              <w:t xml:space="preserve">cases increasing </w:t>
            </w:r>
            <w:r w:rsidR="00C865A9">
              <w:t>to the Business Continuity Group.</w:t>
            </w:r>
          </w:p>
          <w:p w14:paraId="71B107CA" w14:textId="5896A013" w:rsidR="00363772" w:rsidRDefault="00363772" w:rsidP="001A7180">
            <w:pPr>
              <w:rPr>
                <w:b/>
              </w:rPr>
            </w:pPr>
          </w:p>
        </w:tc>
      </w:tr>
      <w:tr w:rsidR="00E3447D" w14:paraId="306300AD" w14:textId="77777777" w:rsidTr="00905E6F">
        <w:tc>
          <w:tcPr>
            <w:tcW w:w="1844" w:type="dxa"/>
          </w:tcPr>
          <w:p w14:paraId="159078D3" w14:textId="332CDBC4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lastRenderedPageBreak/>
              <w:t>HR</w:t>
            </w:r>
            <w:r w:rsidR="00905ADF">
              <w:rPr>
                <w:b/>
                <w:color w:val="1F4E79" w:themeColor="accent5" w:themeShade="80"/>
              </w:rPr>
              <w:t>08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11387A04" w14:textId="4980B8A3" w:rsidR="00610685" w:rsidRDefault="00610685" w:rsidP="0075050A">
            <w:pPr>
              <w:tabs>
                <w:tab w:val="right" w:pos="9026"/>
              </w:tabs>
              <w:rPr>
                <w:b/>
              </w:rPr>
            </w:pPr>
          </w:p>
          <w:p w14:paraId="38842471" w14:textId="78BB2346" w:rsidR="00957AF4" w:rsidRDefault="00957AF4" w:rsidP="0075050A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COO</w:t>
            </w:r>
          </w:p>
          <w:p w14:paraId="02FE4A88" w14:textId="4FC52AEE" w:rsidR="00E3447D" w:rsidRDefault="00E3447D" w:rsidP="00F8015E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8221" w:type="dxa"/>
          </w:tcPr>
          <w:p w14:paraId="14CBBC1B" w14:textId="5BF21884" w:rsidR="00021F1E" w:rsidRPr="00021F1E" w:rsidRDefault="003D2774" w:rsidP="00021F1E">
            <w:pPr>
              <w:tabs>
                <w:tab w:val="right" w:pos="9026"/>
              </w:tabs>
              <w:rPr>
                <w:b/>
              </w:rPr>
            </w:pPr>
            <w:r w:rsidRPr="004E1EDE">
              <w:rPr>
                <w:b/>
              </w:rPr>
              <w:t>CLOSED SE</w:t>
            </w:r>
            <w:r w:rsidR="00A46C1F" w:rsidRPr="004E1EDE">
              <w:rPr>
                <w:b/>
              </w:rPr>
              <w:t>S</w:t>
            </w:r>
            <w:r w:rsidRPr="004E1EDE">
              <w:rPr>
                <w:b/>
              </w:rPr>
              <w:t xml:space="preserve">SION:  </w:t>
            </w:r>
            <w:r w:rsidR="00021F1E" w:rsidRPr="00021F1E">
              <w:rPr>
                <w:b/>
              </w:rPr>
              <w:t>Chief Executive</w:t>
            </w:r>
            <w:r w:rsidR="00475182">
              <w:rPr>
                <w:b/>
              </w:rPr>
              <w:t xml:space="preserve"> - </w:t>
            </w:r>
            <w:r w:rsidR="00021F1E" w:rsidRPr="00021F1E">
              <w:rPr>
                <w:b/>
              </w:rPr>
              <w:t>Human Resources Report</w:t>
            </w:r>
          </w:p>
          <w:p w14:paraId="740C2527" w14:textId="1DB0504A" w:rsidR="00A60974" w:rsidRDefault="00A60974" w:rsidP="00021F1E">
            <w:pPr>
              <w:tabs>
                <w:tab w:val="right" w:pos="9026"/>
              </w:tabs>
            </w:pPr>
          </w:p>
          <w:p w14:paraId="3A177151" w14:textId="2CA46FAF" w:rsidR="00E3447D" w:rsidRPr="00DA6BA9" w:rsidRDefault="00957AF4" w:rsidP="0066041D">
            <w:pPr>
              <w:tabs>
                <w:tab w:val="right" w:pos="9026"/>
              </w:tabs>
              <w:rPr>
                <w:b/>
              </w:rPr>
            </w:pPr>
            <w:r>
              <w:t xml:space="preserve">In </w:t>
            </w:r>
            <w:r w:rsidR="005D14AD">
              <w:t xml:space="preserve">the Principal’s absence </w:t>
            </w:r>
            <w:r w:rsidR="00D6684F">
              <w:t xml:space="preserve">the </w:t>
            </w:r>
            <w:r w:rsidR="005D14AD">
              <w:t>COO gave an update</w:t>
            </w:r>
            <w:r w:rsidR="0014313D">
              <w:t xml:space="preserve"> on D</w:t>
            </w:r>
            <w:r w:rsidR="00415B17">
              <w:t>f</w:t>
            </w:r>
            <w:r w:rsidR="0014313D">
              <w:t xml:space="preserve">E FE Sector Matters. </w:t>
            </w:r>
          </w:p>
        </w:tc>
      </w:tr>
      <w:tr w:rsidR="00E3447D" w14:paraId="68BE66B8" w14:textId="77777777" w:rsidTr="00905E6F">
        <w:trPr>
          <w:trHeight w:val="224"/>
        </w:trPr>
        <w:tc>
          <w:tcPr>
            <w:tcW w:w="1844" w:type="dxa"/>
          </w:tcPr>
          <w:p w14:paraId="611DB4ED" w14:textId="07047A3B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905ADF">
              <w:rPr>
                <w:b/>
                <w:color w:val="1F4E79" w:themeColor="accent5" w:themeShade="80"/>
              </w:rPr>
              <w:t xml:space="preserve">09 </w:t>
            </w:r>
            <w:r>
              <w:rPr>
                <w:b/>
                <w:color w:val="1F4E79" w:themeColor="accent5" w:themeShade="80"/>
              </w:rPr>
              <w:t>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  <w:r w:rsidRPr="002E27B3">
              <w:rPr>
                <w:b/>
                <w:color w:val="1F4E79" w:themeColor="accent5" w:themeShade="80"/>
              </w:rPr>
              <w:t xml:space="preserve"> </w:t>
            </w:r>
            <w:r>
              <w:rPr>
                <w:b/>
                <w:color w:val="1F4E79" w:themeColor="accent5" w:themeShade="80"/>
              </w:rPr>
              <w:t xml:space="preserve"> </w:t>
            </w:r>
          </w:p>
          <w:p w14:paraId="4BB2DE42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280574FA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 w:rsidRPr="00975936">
              <w:rPr>
                <w:b/>
              </w:rPr>
              <w:t>Chair</w:t>
            </w:r>
          </w:p>
        </w:tc>
        <w:tc>
          <w:tcPr>
            <w:tcW w:w="8221" w:type="dxa"/>
          </w:tcPr>
          <w:p w14:paraId="74655CFB" w14:textId="77777777" w:rsidR="00E3447D" w:rsidRPr="00DA6BA9" w:rsidRDefault="00E3447D" w:rsidP="0075050A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6FACF1EE" w14:textId="77777777" w:rsidR="00E3447D" w:rsidRDefault="00E3447D" w:rsidP="0075050A">
            <w:pPr>
              <w:tabs>
                <w:tab w:val="right" w:pos="9026"/>
              </w:tabs>
            </w:pPr>
          </w:p>
          <w:p w14:paraId="58CA3544" w14:textId="77777777" w:rsidR="00E3447D" w:rsidRPr="00DE12CF" w:rsidRDefault="00E3447D" w:rsidP="0075050A">
            <w:pPr>
              <w:rPr>
                <w:rFonts w:cs="Arial"/>
              </w:rPr>
            </w:pPr>
            <w:r>
              <w:rPr>
                <w:rFonts w:cs="Arial"/>
              </w:rPr>
              <w:t>No items of AOB advised at the meeting</w:t>
            </w:r>
            <w:r>
              <w:rPr>
                <w:rFonts w:cs="Arial"/>
                <w:b/>
                <w:bCs/>
              </w:rPr>
              <w:t>.</w:t>
            </w:r>
          </w:p>
          <w:p w14:paraId="606A4AA4" w14:textId="77777777" w:rsidR="00E3447D" w:rsidRPr="00DB549C" w:rsidRDefault="00E3447D" w:rsidP="0075050A">
            <w:pPr>
              <w:tabs>
                <w:tab w:val="right" w:pos="9026"/>
              </w:tabs>
              <w:rPr>
                <w:b/>
                <w:bCs/>
              </w:rPr>
            </w:pPr>
          </w:p>
        </w:tc>
      </w:tr>
      <w:tr w:rsidR="00E3447D" w14:paraId="349CA924" w14:textId="77777777" w:rsidTr="00905E6F">
        <w:trPr>
          <w:trHeight w:val="224"/>
        </w:trPr>
        <w:tc>
          <w:tcPr>
            <w:tcW w:w="1844" w:type="dxa"/>
          </w:tcPr>
          <w:p w14:paraId="6B778552" w14:textId="39CBE556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905ADF">
              <w:rPr>
                <w:b/>
                <w:color w:val="1F4E79" w:themeColor="accent5" w:themeShade="80"/>
              </w:rPr>
              <w:t>10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63428AE1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0AD6CFC1" w14:textId="77777777" w:rsidR="00E3447D" w:rsidRDefault="00E3447D" w:rsidP="0075050A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 w:rsidRPr="007749FF">
              <w:rPr>
                <w:b/>
              </w:rPr>
              <w:t>Chair</w:t>
            </w:r>
          </w:p>
        </w:tc>
        <w:tc>
          <w:tcPr>
            <w:tcW w:w="8221" w:type="dxa"/>
          </w:tcPr>
          <w:p w14:paraId="6DECD5CF" w14:textId="77777777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evaluation </w:t>
            </w:r>
          </w:p>
          <w:p w14:paraId="31D356F8" w14:textId="77777777" w:rsidR="00E3447D" w:rsidRDefault="00E3447D" w:rsidP="0075050A">
            <w:pPr>
              <w:tabs>
                <w:tab w:val="right" w:pos="9026"/>
              </w:tabs>
              <w:rPr>
                <w:b/>
              </w:rPr>
            </w:pPr>
          </w:p>
          <w:p w14:paraId="70FF4140" w14:textId="21761139" w:rsidR="00357122" w:rsidRPr="00117CA3" w:rsidRDefault="00957AF4" w:rsidP="0075050A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</w:t>
            </w:r>
            <w:r w:rsidR="00117CA3" w:rsidRPr="00117CA3">
              <w:rPr>
                <w:bCs/>
              </w:rPr>
              <w:t xml:space="preserve">ommittee members </w:t>
            </w:r>
            <w:r>
              <w:rPr>
                <w:bCs/>
              </w:rPr>
              <w:t>agreed</w:t>
            </w:r>
            <w:r w:rsidR="008C7087">
              <w:rPr>
                <w:bCs/>
              </w:rPr>
              <w:t xml:space="preserve"> conduct of the meeting provided evidence of the Governing Body’s commitments as set out at </w:t>
            </w:r>
            <w:r w:rsidR="00616062" w:rsidRPr="00616062">
              <w:rPr>
                <w:b/>
                <w:color w:val="BF8F00" w:themeColor="accent4" w:themeShade="BF"/>
              </w:rPr>
              <w:t>HR01 23/24</w:t>
            </w:r>
            <w:r w:rsidR="00616062" w:rsidRPr="00616062">
              <w:rPr>
                <w:bCs/>
                <w:color w:val="BF8F00" w:themeColor="accent4" w:themeShade="BF"/>
              </w:rPr>
              <w:t xml:space="preserve"> </w:t>
            </w:r>
            <w:r w:rsidR="00616062">
              <w:rPr>
                <w:bCs/>
              </w:rPr>
              <w:t>above.</w:t>
            </w:r>
          </w:p>
          <w:p w14:paraId="13BC29CF" w14:textId="77777777" w:rsidR="00E3447D" w:rsidRPr="008E785E" w:rsidRDefault="00E3447D" w:rsidP="0075050A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E3447D" w14:paraId="5F076890" w14:textId="77777777" w:rsidTr="00905E6F">
        <w:tc>
          <w:tcPr>
            <w:tcW w:w="1844" w:type="dxa"/>
          </w:tcPr>
          <w:p w14:paraId="791193BB" w14:textId="514451F9" w:rsidR="00E3447D" w:rsidRDefault="00E3447D" w:rsidP="0075050A">
            <w:pPr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905ADF">
              <w:rPr>
                <w:b/>
                <w:color w:val="1F4E79" w:themeColor="accent5" w:themeShade="80"/>
              </w:rPr>
              <w:t>11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325D5BFA" w14:textId="77777777" w:rsidR="00E3447D" w:rsidRDefault="00E3447D" w:rsidP="0075050A">
            <w:pPr>
              <w:rPr>
                <w:b/>
                <w:color w:val="1F4E79" w:themeColor="accent5" w:themeShade="80"/>
              </w:rPr>
            </w:pPr>
          </w:p>
          <w:p w14:paraId="429E6727" w14:textId="77777777" w:rsidR="00E3447D" w:rsidRPr="00975936" w:rsidRDefault="00E3447D" w:rsidP="0075050A">
            <w:pPr>
              <w:rPr>
                <w:b/>
              </w:rPr>
            </w:pPr>
            <w:r w:rsidRPr="00975936">
              <w:rPr>
                <w:b/>
              </w:rPr>
              <w:t>Chair</w:t>
            </w:r>
          </w:p>
          <w:p w14:paraId="51E81B22" w14:textId="77777777" w:rsidR="00E3447D" w:rsidRDefault="00E3447D" w:rsidP="0075050A">
            <w:pPr>
              <w:rPr>
                <w:b/>
                <w:color w:val="1F4E79" w:themeColor="accent5" w:themeShade="80"/>
              </w:rPr>
            </w:pPr>
          </w:p>
          <w:p w14:paraId="5065CAA2" w14:textId="77777777" w:rsidR="00E3447D" w:rsidRPr="00B0563F" w:rsidRDefault="00E3447D" w:rsidP="0075050A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8221" w:type="dxa"/>
          </w:tcPr>
          <w:p w14:paraId="5292FA12" w14:textId="1F9E368B" w:rsidR="00503884" w:rsidRPr="00C0209C" w:rsidRDefault="00357122" w:rsidP="00C0209C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Date of next meeting</w:t>
            </w:r>
          </w:p>
          <w:p w14:paraId="6B905888" w14:textId="77777777" w:rsidR="00503884" w:rsidRDefault="00503884" w:rsidP="00503884">
            <w:pPr>
              <w:tabs>
                <w:tab w:val="right" w:pos="9026"/>
              </w:tabs>
            </w:pPr>
          </w:p>
          <w:p w14:paraId="1BA14B00" w14:textId="1D59A181" w:rsidR="00503884" w:rsidRDefault="00503884" w:rsidP="00503884">
            <w:pPr>
              <w:tabs>
                <w:tab w:val="right" w:pos="9026"/>
              </w:tabs>
            </w:pPr>
            <w:r w:rsidRPr="00FC494B">
              <w:rPr>
                <w:b/>
                <w:bCs/>
              </w:rPr>
              <w:t xml:space="preserve">Governance Programme 2023/24  Cycle </w:t>
            </w:r>
            <w:r>
              <w:rPr>
                <w:b/>
                <w:bCs/>
              </w:rPr>
              <w:t>2</w:t>
            </w:r>
            <w:r>
              <w:t xml:space="preserve">: The </w:t>
            </w:r>
            <w:r w:rsidRPr="000111B3">
              <w:rPr>
                <w:b/>
                <w:bCs/>
                <w:u w:val="single"/>
              </w:rPr>
              <w:t>second</w:t>
            </w:r>
            <w:r w:rsidRPr="00FC494B">
              <w:rPr>
                <w:b/>
                <w:bCs/>
              </w:rPr>
              <w:t xml:space="preserve"> </w:t>
            </w:r>
            <w:r>
              <w:t xml:space="preserve">meeting of the Human Resources Committee in 2023/24 will be held at </w:t>
            </w:r>
            <w:r w:rsidRPr="00C0209C">
              <w:rPr>
                <w:b/>
                <w:bCs/>
                <w:color w:val="C45911" w:themeColor="accent2" w:themeShade="BF"/>
                <w:u w:val="single"/>
              </w:rPr>
              <w:t xml:space="preserve">3.00pm on Monday 4 December 2023 </w:t>
            </w:r>
            <w:r>
              <w:t xml:space="preserve">in the Titanic Quarter Boardroom and via MS Teams.  </w:t>
            </w:r>
            <w:r>
              <w:rPr>
                <w:b/>
                <w:color w:val="1F4E79" w:themeColor="accent5" w:themeShade="80"/>
              </w:rPr>
              <w:t xml:space="preserve">HR24 22/23 </w:t>
            </w:r>
            <w:r w:rsidR="008E2E26">
              <w:rPr>
                <w:b/>
                <w:color w:val="1F4E79" w:themeColor="accent5" w:themeShade="80"/>
              </w:rPr>
              <w:t xml:space="preserve">5 December 2022 </w:t>
            </w:r>
            <w:r w:rsidR="008E2E26" w:rsidRPr="008E2E26">
              <w:rPr>
                <w:bCs/>
              </w:rPr>
              <w:t>refers.</w:t>
            </w:r>
          </w:p>
          <w:p w14:paraId="565C0357" w14:textId="77777777" w:rsidR="00E3447D" w:rsidRDefault="00E3447D" w:rsidP="0075050A">
            <w:pPr>
              <w:tabs>
                <w:tab w:val="right" w:pos="9026"/>
              </w:tabs>
            </w:pPr>
          </w:p>
          <w:p w14:paraId="6348B496" w14:textId="4CF6F24D" w:rsidR="00E3447D" w:rsidRDefault="00E3447D" w:rsidP="0075050A">
            <w:r>
              <w:t>The meeting end</w:t>
            </w:r>
            <w:r w:rsidR="004E4AE0">
              <w:t>ed</w:t>
            </w:r>
            <w:r>
              <w:t xml:space="preserve"> at </w:t>
            </w:r>
            <w:r w:rsidR="001E5EA7">
              <w:t>5.20pm</w:t>
            </w:r>
          </w:p>
          <w:p w14:paraId="3ED3D10B" w14:textId="7B897489" w:rsidR="003A7E76" w:rsidRDefault="003A7E76" w:rsidP="0075050A"/>
        </w:tc>
      </w:tr>
    </w:tbl>
    <w:p w14:paraId="15E3D77B" w14:textId="77777777" w:rsidR="00C97A99" w:rsidRDefault="00C97A99" w:rsidP="00C97A99">
      <w:pPr>
        <w:rPr>
          <w:color w:val="000000" w:themeColor="text1"/>
        </w:rPr>
      </w:pPr>
    </w:p>
    <w:p w14:paraId="024367CD" w14:textId="77777777" w:rsidR="0055344C" w:rsidRPr="00A67F32" w:rsidRDefault="0055344C" w:rsidP="00C97A99">
      <w:pPr>
        <w:rPr>
          <w:color w:val="000000" w:themeColor="text1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015"/>
        <w:gridCol w:w="5050"/>
      </w:tblGrid>
      <w:tr w:rsidR="003A7E76" w:rsidRPr="00760C0F" w14:paraId="31EA9749" w14:textId="77777777" w:rsidTr="00C97A99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D081326" w14:textId="77777777" w:rsidR="003A7E76" w:rsidRPr="00A67F32" w:rsidRDefault="003A7E76" w:rsidP="003A7E76">
            <w:pPr>
              <w:rPr>
                <w:color w:val="000000" w:themeColor="text1"/>
              </w:rPr>
            </w:pP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Governing Body Attendance Report and Governing Body Member Assessment 2022/23</w:t>
            </w:r>
          </w:p>
          <w:p w14:paraId="40590391" w14:textId="770BDE9D" w:rsidR="003A7E76" w:rsidRPr="003A7E76" w:rsidRDefault="003A7E76" w:rsidP="0075050A">
            <w:pPr>
              <w:rPr>
                <w:color w:val="000000" w:themeColor="text1"/>
              </w:rPr>
            </w:pP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Participation at HR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01 </w:t>
            </w: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/23 Human Resources Committee </w:t>
            </w:r>
            <w:r w:rsidR="00EC081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11 September </w:t>
            </w: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2023</w:t>
            </w:r>
          </w:p>
        </w:tc>
      </w:tr>
      <w:tr w:rsidR="00A67F32" w:rsidRPr="00760C0F" w14:paraId="25F479C4" w14:textId="77777777" w:rsidTr="00C97A99">
        <w:tc>
          <w:tcPr>
            <w:tcW w:w="5015" w:type="dxa"/>
            <w:shd w:val="clear" w:color="auto" w:fill="D9D9D9" w:themeFill="background1" w:themeFillShade="D9"/>
          </w:tcPr>
          <w:p w14:paraId="5CE7CE5A" w14:textId="77777777" w:rsidR="00A67F32" w:rsidRPr="00760C0F" w:rsidRDefault="00A67F32" w:rsidP="0075050A">
            <w:pPr>
              <w:rPr>
                <w:rFonts w:asciiTheme="minorHAnsi" w:hAnsiTheme="minorHAnsi" w:cstheme="minorHAnsi"/>
                <w:b/>
                <w:bCs/>
              </w:rPr>
            </w:pPr>
            <w:r w:rsidRPr="00760C0F">
              <w:rPr>
                <w:rFonts w:asciiTheme="minorHAnsi" w:hAnsiTheme="minorHAnsi" w:cstheme="minorHAnsi"/>
                <w:b/>
                <w:bCs/>
              </w:rPr>
              <w:t>In-person at TQ Boardroom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14:paraId="43E43C92" w14:textId="77777777" w:rsidR="00A67F32" w:rsidRPr="00760C0F" w:rsidRDefault="00A67F32" w:rsidP="0075050A">
            <w:pPr>
              <w:rPr>
                <w:rFonts w:asciiTheme="minorHAnsi" w:hAnsiTheme="minorHAnsi" w:cstheme="minorHAnsi"/>
                <w:b/>
                <w:bCs/>
              </w:rPr>
            </w:pPr>
            <w:r w:rsidRPr="00760C0F">
              <w:rPr>
                <w:rFonts w:asciiTheme="minorHAnsi" w:hAnsiTheme="minorHAnsi" w:cstheme="minorHAnsi"/>
                <w:b/>
                <w:bCs/>
              </w:rPr>
              <w:t>via MS Teams</w:t>
            </w:r>
          </w:p>
        </w:tc>
      </w:tr>
      <w:tr w:rsidR="00A67F32" w:rsidRPr="00760C0F" w14:paraId="139BD283" w14:textId="77777777" w:rsidTr="00C97A99">
        <w:tc>
          <w:tcPr>
            <w:tcW w:w="5015" w:type="dxa"/>
          </w:tcPr>
          <w:p w14:paraId="2EF02E0B" w14:textId="1C3DFF02" w:rsidR="00A67F32" w:rsidRPr="00760C0F" w:rsidRDefault="00955A38" w:rsidP="00150FED">
            <w:pPr>
              <w:tabs>
                <w:tab w:val="left" w:pos="34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Lauren McAteer</w:t>
            </w:r>
          </w:p>
        </w:tc>
        <w:tc>
          <w:tcPr>
            <w:tcW w:w="5050" w:type="dxa"/>
          </w:tcPr>
          <w:p w14:paraId="4F232DAB" w14:textId="112872DC" w:rsidR="00A67F32" w:rsidRPr="00760C0F" w:rsidRDefault="00F94183" w:rsidP="007505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Seamus McGoran</w:t>
            </w:r>
          </w:p>
        </w:tc>
      </w:tr>
      <w:tr w:rsidR="00A67F32" w14:paraId="4A00A930" w14:textId="77777777" w:rsidTr="00C97A99">
        <w:tc>
          <w:tcPr>
            <w:tcW w:w="5015" w:type="dxa"/>
          </w:tcPr>
          <w:p w14:paraId="5BE7B9D0" w14:textId="4039E0B7" w:rsidR="00A67F32" w:rsidRDefault="00955A38" w:rsidP="007505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 Snodden</w:t>
            </w:r>
          </w:p>
        </w:tc>
        <w:tc>
          <w:tcPr>
            <w:tcW w:w="5050" w:type="dxa"/>
          </w:tcPr>
          <w:p w14:paraId="63D052AD" w14:textId="2CC8C79D" w:rsidR="00A67F32" w:rsidRDefault="00F94183" w:rsidP="007505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Michele Corkey</w:t>
            </w:r>
          </w:p>
        </w:tc>
      </w:tr>
      <w:tr w:rsidR="00A67F32" w:rsidRPr="00760C0F" w14:paraId="70C40157" w14:textId="77777777" w:rsidTr="00C97A99">
        <w:tc>
          <w:tcPr>
            <w:tcW w:w="5015" w:type="dxa"/>
          </w:tcPr>
          <w:p w14:paraId="16677753" w14:textId="5BE3091A" w:rsidR="00A67F32" w:rsidRPr="00760C0F" w:rsidRDefault="00955A38" w:rsidP="007505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Sinead Sharpe</w:t>
            </w:r>
          </w:p>
        </w:tc>
        <w:tc>
          <w:tcPr>
            <w:tcW w:w="5050" w:type="dxa"/>
          </w:tcPr>
          <w:p w14:paraId="1A595950" w14:textId="77777777" w:rsidR="00A67F32" w:rsidRPr="00760C0F" w:rsidRDefault="00A67F32" w:rsidP="0075050A">
            <w:pPr>
              <w:rPr>
                <w:rFonts w:asciiTheme="minorHAnsi" w:hAnsiTheme="minorHAnsi" w:cstheme="minorHAnsi"/>
              </w:rPr>
            </w:pPr>
          </w:p>
        </w:tc>
      </w:tr>
      <w:tr w:rsidR="00A67F32" w:rsidRPr="00760C0F" w14:paraId="7E675BAE" w14:textId="77777777" w:rsidTr="00C97A99">
        <w:tc>
          <w:tcPr>
            <w:tcW w:w="5015" w:type="dxa"/>
          </w:tcPr>
          <w:p w14:paraId="2A74580C" w14:textId="3388AC1A" w:rsidR="00A67F32" w:rsidRPr="00760C0F" w:rsidRDefault="00955A38" w:rsidP="007505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Sheena McKinney</w:t>
            </w:r>
          </w:p>
        </w:tc>
        <w:tc>
          <w:tcPr>
            <w:tcW w:w="5050" w:type="dxa"/>
          </w:tcPr>
          <w:p w14:paraId="4C629E7F" w14:textId="77777777" w:rsidR="00A67F32" w:rsidRPr="00760C0F" w:rsidRDefault="00A67F32" w:rsidP="0075050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67F32" w:rsidRPr="00760C0F" w14:paraId="6CE438AE" w14:textId="77777777" w:rsidTr="00C97A99">
        <w:tc>
          <w:tcPr>
            <w:tcW w:w="5015" w:type="dxa"/>
          </w:tcPr>
          <w:p w14:paraId="5E35117A" w14:textId="24BA8904" w:rsidR="00A67F32" w:rsidRDefault="00955A38" w:rsidP="007505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Rose Byrne</w:t>
            </w:r>
          </w:p>
        </w:tc>
        <w:tc>
          <w:tcPr>
            <w:tcW w:w="5050" w:type="dxa"/>
          </w:tcPr>
          <w:p w14:paraId="34EC6B7C" w14:textId="77777777" w:rsidR="00A67F32" w:rsidRPr="00760C0F" w:rsidRDefault="00A67F32" w:rsidP="0075050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76A58D3" w14:textId="77777777" w:rsidR="00A67F32" w:rsidRDefault="00A67F32" w:rsidP="00A67F32">
      <w:pPr>
        <w:jc w:val="both"/>
      </w:pPr>
    </w:p>
    <w:p w14:paraId="62EE30E2" w14:textId="77777777" w:rsidR="00F65B28" w:rsidRDefault="00F65B28" w:rsidP="00A67F32">
      <w:pPr>
        <w:jc w:val="both"/>
      </w:pPr>
    </w:p>
    <w:p w14:paraId="41EC4D08" w14:textId="77777777" w:rsidR="00F65B28" w:rsidRDefault="00F65B28" w:rsidP="00A67F32">
      <w:pPr>
        <w:jc w:val="both"/>
      </w:pPr>
    </w:p>
    <w:p w14:paraId="71F2B116" w14:textId="77777777" w:rsidR="00F65B28" w:rsidRPr="00A25B40" w:rsidRDefault="00F65B28" w:rsidP="00F65B28">
      <w:pPr>
        <w:spacing w:after="0" w:line="240" w:lineRule="auto"/>
        <w:rPr>
          <w:b/>
        </w:rPr>
      </w:pPr>
      <w:r w:rsidRPr="00A25B40">
        <w:rPr>
          <w:b/>
        </w:rPr>
        <w:t>Lauren McAteer</w:t>
      </w:r>
    </w:p>
    <w:p w14:paraId="06809394" w14:textId="77777777" w:rsidR="00F65B28" w:rsidRPr="00476E4C" w:rsidRDefault="00F65B28" w:rsidP="00F65B28">
      <w:pPr>
        <w:spacing w:after="0" w:line="240" w:lineRule="auto"/>
        <w:rPr>
          <w:b/>
          <w:bCs/>
        </w:rPr>
      </w:pPr>
      <w:r w:rsidRPr="00476E4C">
        <w:rPr>
          <w:b/>
          <w:bCs/>
        </w:rPr>
        <w:t xml:space="preserve">Chair of Belfast Metropolitan College </w:t>
      </w:r>
      <w:r>
        <w:rPr>
          <w:b/>
          <w:bCs/>
        </w:rPr>
        <w:t>Human Resources</w:t>
      </w:r>
      <w:r w:rsidRPr="00476E4C">
        <w:rPr>
          <w:b/>
          <w:bCs/>
        </w:rPr>
        <w:t xml:space="preserve"> Committee</w:t>
      </w:r>
    </w:p>
    <w:p w14:paraId="0DAA4E8A" w14:textId="77777777" w:rsidR="00F65B28" w:rsidRPr="00476E4C" w:rsidRDefault="00F65B28" w:rsidP="00F65B28">
      <w:pPr>
        <w:spacing w:after="0" w:line="240" w:lineRule="auto"/>
        <w:rPr>
          <w:b/>
          <w:bCs/>
        </w:rPr>
      </w:pPr>
    </w:p>
    <w:p w14:paraId="5993B955" w14:textId="77777777" w:rsidR="00F65B28" w:rsidRDefault="00F65B28" w:rsidP="00F65B28">
      <w:pPr>
        <w:spacing w:after="0" w:line="240" w:lineRule="auto"/>
        <w:rPr>
          <w:b/>
          <w:bCs/>
        </w:rPr>
      </w:pPr>
    </w:p>
    <w:p w14:paraId="1339CA5F" w14:textId="77777777" w:rsidR="00F65B28" w:rsidRDefault="00F65B28" w:rsidP="00F65B28">
      <w:pPr>
        <w:spacing w:after="0" w:line="240" w:lineRule="auto"/>
        <w:rPr>
          <w:b/>
          <w:bCs/>
        </w:rPr>
      </w:pPr>
    </w:p>
    <w:p w14:paraId="2B1565D8" w14:textId="77777777" w:rsidR="00F65B28" w:rsidRDefault="00F65B28" w:rsidP="00F65B28">
      <w:pPr>
        <w:spacing w:after="0" w:line="240" w:lineRule="auto"/>
      </w:pPr>
      <w:r w:rsidRPr="00476E4C">
        <w:rPr>
          <w:b/>
          <w:bCs/>
        </w:rPr>
        <w:t xml:space="preserve">Signature </w:t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  <w:t>Date</w:t>
      </w:r>
    </w:p>
    <w:p w14:paraId="2F9B3FFE" w14:textId="77777777" w:rsidR="00F65B28" w:rsidRDefault="00F65B28" w:rsidP="00A67F32">
      <w:pPr>
        <w:jc w:val="both"/>
      </w:pPr>
    </w:p>
    <w:sectPr w:rsidR="00F65B28" w:rsidSect="00AB26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4EF1" w14:textId="77777777" w:rsidR="009F5272" w:rsidRDefault="009F5272" w:rsidP="00FA19A8">
      <w:pPr>
        <w:spacing w:after="0" w:line="240" w:lineRule="auto"/>
      </w:pPr>
      <w:r>
        <w:separator/>
      </w:r>
    </w:p>
  </w:endnote>
  <w:endnote w:type="continuationSeparator" w:id="0">
    <w:p w14:paraId="4E774EB4" w14:textId="77777777" w:rsidR="009F5272" w:rsidRDefault="009F5272" w:rsidP="00FA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48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421734" w14:textId="7F17CF1A" w:rsidR="001C1AF0" w:rsidRPr="00AD1A9D" w:rsidRDefault="001C1AF0" w:rsidP="001C1AF0">
            <w:pPr>
              <w:pStyle w:val="Footer"/>
            </w:pPr>
            <w:r w:rsidRPr="00AD1A9D">
              <w:t xml:space="preserve">Page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PAGE </w:instrText>
            </w:r>
            <w:r w:rsidRPr="00AD1A9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t xml:space="preserve"> of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NUMPAGES  </w:instrText>
            </w:r>
            <w:r w:rsidRPr="00AD1A9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rPr>
                <w:b/>
                <w:bCs/>
              </w:rPr>
              <w:t xml:space="preserve"> </w:t>
            </w:r>
            <w:r w:rsidRPr="00B162F2">
              <w:rPr>
                <w:b/>
                <w:bCs/>
                <w:color w:val="1F4E79" w:themeColor="accent5" w:themeShade="80"/>
              </w:rPr>
              <w:t>HR</w:t>
            </w:r>
            <w:r>
              <w:rPr>
                <w:b/>
                <w:bCs/>
                <w:color w:val="1F4E79" w:themeColor="accent5" w:themeShade="80"/>
              </w:rPr>
              <w:t>0</w:t>
            </w:r>
            <w:r w:rsidR="00150FED">
              <w:rPr>
                <w:b/>
                <w:bCs/>
                <w:color w:val="1F4E79" w:themeColor="accent5" w:themeShade="80"/>
              </w:rPr>
              <w:t>1</w:t>
            </w:r>
            <w:r>
              <w:rPr>
                <w:b/>
                <w:bCs/>
                <w:color w:val="1F4E79" w:themeColor="accent5" w:themeShade="80"/>
              </w:rPr>
              <w:t xml:space="preserve"> </w:t>
            </w:r>
            <w:r w:rsidRPr="00B162F2">
              <w:rPr>
                <w:b/>
                <w:bCs/>
                <w:color w:val="1F4E79" w:themeColor="accent5" w:themeShade="80"/>
              </w:rPr>
              <w:t>2</w:t>
            </w:r>
            <w:r>
              <w:rPr>
                <w:b/>
                <w:bCs/>
                <w:color w:val="1F4E79" w:themeColor="accent5" w:themeShade="80"/>
              </w:rPr>
              <w:t>3</w:t>
            </w:r>
            <w:r w:rsidRPr="00B162F2">
              <w:rPr>
                <w:b/>
                <w:bCs/>
                <w:color w:val="1F4E79" w:themeColor="accent5" w:themeShade="80"/>
              </w:rPr>
              <w:t>/2</w:t>
            </w:r>
            <w:r>
              <w:rPr>
                <w:b/>
                <w:bCs/>
                <w:color w:val="1F4E79" w:themeColor="accent5" w:themeShade="80"/>
              </w:rPr>
              <w:t>4</w:t>
            </w:r>
            <w:r w:rsidRPr="00B162F2">
              <w:rPr>
                <w:b/>
                <w:bCs/>
                <w:color w:val="1F4E79" w:themeColor="accent5" w:themeShade="80"/>
              </w:rPr>
              <w:t xml:space="preserve"> </w:t>
            </w:r>
            <w:r>
              <w:rPr>
                <w:b/>
                <w:bCs/>
              </w:rPr>
              <w:t xml:space="preserve">Meeting </w:t>
            </w:r>
            <w:r w:rsidR="00150FED">
              <w:rPr>
                <w:b/>
                <w:bCs/>
              </w:rPr>
              <w:t xml:space="preserve">11 September </w:t>
            </w:r>
            <w:r>
              <w:rPr>
                <w:b/>
                <w:bCs/>
              </w:rPr>
              <w:t>202</w:t>
            </w:r>
            <w:r w:rsidR="00DF0C6E">
              <w:rPr>
                <w:b/>
                <w:bCs/>
              </w:rPr>
              <w:t xml:space="preserve">3 Minutes </w:t>
            </w:r>
            <w:r w:rsidR="00260BBB">
              <w:rPr>
                <w:b/>
                <w:bCs/>
              </w:rPr>
              <w:t>(Approved 4 Dec 23)</w:t>
            </w:r>
          </w:p>
        </w:sdtContent>
      </w:sdt>
    </w:sdtContent>
  </w:sdt>
  <w:p w14:paraId="681E3142" w14:textId="77777777" w:rsidR="001C1AF0" w:rsidRDefault="001C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DF86" w14:textId="77777777" w:rsidR="009F5272" w:rsidRDefault="009F5272" w:rsidP="00FA19A8">
      <w:pPr>
        <w:spacing w:after="0" w:line="240" w:lineRule="auto"/>
      </w:pPr>
      <w:r>
        <w:separator/>
      </w:r>
    </w:p>
  </w:footnote>
  <w:footnote w:type="continuationSeparator" w:id="0">
    <w:p w14:paraId="1D0B67D5" w14:textId="77777777" w:rsidR="009F5272" w:rsidRDefault="009F5272" w:rsidP="00FA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4E72" w14:textId="63EDDE79" w:rsidR="00FA19A8" w:rsidRPr="00AB26D8" w:rsidRDefault="00AB26D8" w:rsidP="00AB26D8">
    <w:pPr>
      <w:pStyle w:val="Header"/>
      <w:jc w:val="center"/>
      <w:rPr>
        <w:color w:val="FFC000" w:themeColor="accent4"/>
        <w14:textFill>
          <w14:gradFill>
            <w14:gsLst>
              <w14:gs w14:pos="0">
                <w14:schemeClr w14:val="accent4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4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4">
                  <w14:lumMod w14:val="75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  <w:r w:rsidRPr="00AB26D8">
      <w:rPr>
        <w:color w:val="FFC000" w:themeColor="accent4"/>
        <w14:textFill>
          <w14:gradFill>
            <w14:gsLst>
              <w14:gs w14:pos="0">
                <w14:schemeClr w14:val="accent4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4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4">
                  <w14:lumMod w14:val="75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  <w:t>Belfast Metropolitan College Human Resources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481"/>
    <w:multiLevelType w:val="hybridMultilevel"/>
    <w:tmpl w:val="488C9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26E4E"/>
    <w:multiLevelType w:val="hybridMultilevel"/>
    <w:tmpl w:val="8A4850BA"/>
    <w:lvl w:ilvl="0" w:tplc="C0DC4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5854"/>
    <w:multiLevelType w:val="hybridMultilevel"/>
    <w:tmpl w:val="AA8E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3BF8"/>
    <w:multiLevelType w:val="hybridMultilevel"/>
    <w:tmpl w:val="C4603822"/>
    <w:lvl w:ilvl="0" w:tplc="F4F4DC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4E4F"/>
    <w:multiLevelType w:val="hybridMultilevel"/>
    <w:tmpl w:val="E9AE7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3C450B"/>
    <w:multiLevelType w:val="hybridMultilevel"/>
    <w:tmpl w:val="0D98CEDA"/>
    <w:lvl w:ilvl="0" w:tplc="39DC1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576373">
    <w:abstractNumId w:val="5"/>
  </w:num>
  <w:num w:numId="2" w16cid:durableId="1109541867">
    <w:abstractNumId w:val="3"/>
  </w:num>
  <w:num w:numId="3" w16cid:durableId="1647393227">
    <w:abstractNumId w:val="1"/>
  </w:num>
  <w:num w:numId="4" w16cid:durableId="1695576654">
    <w:abstractNumId w:val="4"/>
  </w:num>
  <w:num w:numId="5" w16cid:durableId="1812020510">
    <w:abstractNumId w:val="2"/>
  </w:num>
  <w:num w:numId="6" w16cid:durableId="190247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2"/>
    <w:rsid w:val="000000D9"/>
    <w:rsid w:val="00011650"/>
    <w:rsid w:val="00013BD1"/>
    <w:rsid w:val="00021F1E"/>
    <w:rsid w:val="000431C4"/>
    <w:rsid w:val="0004658E"/>
    <w:rsid w:val="00066BB0"/>
    <w:rsid w:val="00077AA9"/>
    <w:rsid w:val="000E592D"/>
    <w:rsid w:val="000F2523"/>
    <w:rsid w:val="000F2B99"/>
    <w:rsid w:val="001034F4"/>
    <w:rsid w:val="00103857"/>
    <w:rsid w:val="0011605C"/>
    <w:rsid w:val="00117CA3"/>
    <w:rsid w:val="001202C1"/>
    <w:rsid w:val="001262F7"/>
    <w:rsid w:val="0013214B"/>
    <w:rsid w:val="001364F1"/>
    <w:rsid w:val="0014209D"/>
    <w:rsid w:val="0014313D"/>
    <w:rsid w:val="00150FED"/>
    <w:rsid w:val="0015292D"/>
    <w:rsid w:val="00161DD7"/>
    <w:rsid w:val="001635AD"/>
    <w:rsid w:val="001650CE"/>
    <w:rsid w:val="00175113"/>
    <w:rsid w:val="001A6CF7"/>
    <w:rsid w:val="001A7180"/>
    <w:rsid w:val="001B1D28"/>
    <w:rsid w:val="001B749B"/>
    <w:rsid w:val="001C1AF0"/>
    <w:rsid w:val="001E5EA7"/>
    <w:rsid w:val="00204122"/>
    <w:rsid w:val="00206F29"/>
    <w:rsid w:val="0021481B"/>
    <w:rsid w:val="00215119"/>
    <w:rsid w:val="002251B4"/>
    <w:rsid w:val="00227EA0"/>
    <w:rsid w:val="00251CF7"/>
    <w:rsid w:val="00260BBB"/>
    <w:rsid w:val="00261D74"/>
    <w:rsid w:val="00263369"/>
    <w:rsid w:val="002713EA"/>
    <w:rsid w:val="002827CA"/>
    <w:rsid w:val="002959B6"/>
    <w:rsid w:val="002B2D52"/>
    <w:rsid w:val="002B2F12"/>
    <w:rsid w:val="002D134D"/>
    <w:rsid w:val="002F4A99"/>
    <w:rsid w:val="003218A5"/>
    <w:rsid w:val="00357122"/>
    <w:rsid w:val="00363772"/>
    <w:rsid w:val="00375383"/>
    <w:rsid w:val="0037659D"/>
    <w:rsid w:val="003936C8"/>
    <w:rsid w:val="003A180C"/>
    <w:rsid w:val="003A20B2"/>
    <w:rsid w:val="003A7E76"/>
    <w:rsid w:val="003B7802"/>
    <w:rsid w:val="003C2577"/>
    <w:rsid w:val="003C73CC"/>
    <w:rsid w:val="003D2774"/>
    <w:rsid w:val="003E4617"/>
    <w:rsid w:val="003F7B73"/>
    <w:rsid w:val="003F7C33"/>
    <w:rsid w:val="00402086"/>
    <w:rsid w:val="00415B17"/>
    <w:rsid w:val="00421D83"/>
    <w:rsid w:val="00432515"/>
    <w:rsid w:val="004466AA"/>
    <w:rsid w:val="004639B8"/>
    <w:rsid w:val="0047367D"/>
    <w:rsid w:val="00474959"/>
    <w:rsid w:val="00475182"/>
    <w:rsid w:val="00484BD7"/>
    <w:rsid w:val="0049252E"/>
    <w:rsid w:val="00496DA9"/>
    <w:rsid w:val="004A596C"/>
    <w:rsid w:val="004C036B"/>
    <w:rsid w:val="004C6C5F"/>
    <w:rsid w:val="004D4D6F"/>
    <w:rsid w:val="004E1EDE"/>
    <w:rsid w:val="004E287E"/>
    <w:rsid w:val="004E4AE0"/>
    <w:rsid w:val="00501C97"/>
    <w:rsid w:val="00503884"/>
    <w:rsid w:val="00506D54"/>
    <w:rsid w:val="005227BE"/>
    <w:rsid w:val="005371FE"/>
    <w:rsid w:val="00543324"/>
    <w:rsid w:val="00545B8F"/>
    <w:rsid w:val="0055344C"/>
    <w:rsid w:val="00555611"/>
    <w:rsid w:val="00557B7D"/>
    <w:rsid w:val="00572BA6"/>
    <w:rsid w:val="0059494F"/>
    <w:rsid w:val="005A2A6E"/>
    <w:rsid w:val="005B0313"/>
    <w:rsid w:val="005D14AD"/>
    <w:rsid w:val="005E401D"/>
    <w:rsid w:val="00605274"/>
    <w:rsid w:val="006056C9"/>
    <w:rsid w:val="006063C3"/>
    <w:rsid w:val="00610685"/>
    <w:rsid w:val="00613BC6"/>
    <w:rsid w:val="00616062"/>
    <w:rsid w:val="0064412D"/>
    <w:rsid w:val="00647119"/>
    <w:rsid w:val="0066041D"/>
    <w:rsid w:val="00667CC4"/>
    <w:rsid w:val="00670DFF"/>
    <w:rsid w:val="00672030"/>
    <w:rsid w:val="006A3D72"/>
    <w:rsid w:val="006B0282"/>
    <w:rsid w:val="006B0C36"/>
    <w:rsid w:val="006B2677"/>
    <w:rsid w:val="006C3034"/>
    <w:rsid w:val="006C4037"/>
    <w:rsid w:val="006C7956"/>
    <w:rsid w:val="00702707"/>
    <w:rsid w:val="00711A6A"/>
    <w:rsid w:val="007122A9"/>
    <w:rsid w:val="00724F28"/>
    <w:rsid w:val="00743542"/>
    <w:rsid w:val="007458E0"/>
    <w:rsid w:val="0075124C"/>
    <w:rsid w:val="00752B5D"/>
    <w:rsid w:val="0075613B"/>
    <w:rsid w:val="00765654"/>
    <w:rsid w:val="0078350E"/>
    <w:rsid w:val="007963B6"/>
    <w:rsid w:val="007A2EAC"/>
    <w:rsid w:val="007B3395"/>
    <w:rsid w:val="007D069D"/>
    <w:rsid w:val="007E43B9"/>
    <w:rsid w:val="00801B96"/>
    <w:rsid w:val="00820CFA"/>
    <w:rsid w:val="00821735"/>
    <w:rsid w:val="0083294E"/>
    <w:rsid w:val="0083535E"/>
    <w:rsid w:val="00852538"/>
    <w:rsid w:val="0087091B"/>
    <w:rsid w:val="008A4DB1"/>
    <w:rsid w:val="008B7A0F"/>
    <w:rsid w:val="008C6978"/>
    <w:rsid w:val="008C7087"/>
    <w:rsid w:val="008D0440"/>
    <w:rsid w:val="008D54FD"/>
    <w:rsid w:val="008E2E26"/>
    <w:rsid w:val="008E2E4B"/>
    <w:rsid w:val="008E359C"/>
    <w:rsid w:val="008F233B"/>
    <w:rsid w:val="00901DC1"/>
    <w:rsid w:val="00905ADF"/>
    <w:rsid w:val="00905E6F"/>
    <w:rsid w:val="00922D48"/>
    <w:rsid w:val="0092583E"/>
    <w:rsid w:val="0093261D"/>
    <w:rsid w:val="009370FF"/>
    <w:rsid w:val="0093780A"/>
    <w:rsid w:val="00947891"/>
    <w:rsid w:val="00950E15"/>
    <w:rsid w:val="0095238E"/>
    <w:rsid w:val="00955A38"/>
    <w:rsid w:val="00957AF4"/>
    <w:rsid w:val="00960DAA"/>
    <w:rsid w:val="009843F1"/>
    <w:rsid w:val="009A31F8"/>
    <w:rsid w:val="009A73EE"/>
    <w:rsid w:val="009A766A"/>
    <w:rsid w:val="009C07A0"/>
    <w:rsid w:val="009E0243"/>
    <w:rsid w:val="009E3CD2"/>
    <w:rsid w:val="009F5272"/>
    <w:rsid w:val="00A12C51"/>
    <w:rsid w:val="00A276FF"/>
    <w:rsid w:val="00A369EA"/>
    <w:rsid w:val="00A4056E"/>
    <w:rsid w:val="00A46C1F"/>
    <w:rsid w:val="00A51405"/>
    <w:rsid w:val="00A56CCD"/>
    <w:rsid w:val="00A60974"/>
    <w:rsid w:val="00A67F32"/>
    <w:rsid w:val="00AB26D8"/>
    <w:rsid w:val="00AC2825"/>
    <w:rsid w:val="00AC721E"/>
    <w:rsid w:val="00AD152C"/>
    <w:rsid w:val="00AE1503"/>
    <w:rsid w:val="00AE3FF3"/>
    <w:rsid w:val="00B00C57"/>
    <w:rsid w:val="00B010E4"/>
    <w:rsid w:val="00B10316"/>
    <w:rsid w:val="00B122F2"/>
    <w:rsid w:val="00B172EF"/>
    <w:rsid w:val="00B23E1F"/>
    <w:rsid w:val="00B361AD"/>
    <w:rsid w:val="00B548DB"/>
    <w:rsid w:val="00B6287C"/>
    <w:rsid w:val="00B754EA"/>
    <w:rsid w:val="00B77914"/>
    <w:rsid w:val="00B9015D"/>
    <w:rsid w:val="00BA762E"/>
    <w:rsid w:val="00BD5774"/>
    <w:rsid w:val="00BE5E0E"/>
    <w:rsid w:val="00BF6EC6"/>
    <w:rsid w:val="00BF7AC3"/>
    <w:rsid w:val="00C0209C"/>
    <w:rsid w:val="00C25449"/>
    <w:rsid w:val="00C26791"/>
    <w:rsid w:val="00C314B2"/>
    <w:rsid w:val="00C35B09"/>
    <w:rsid w:val="00C35B2F"/>
    <w:rsid w:val="00C865A9"/>
    <w:rsid w:val="00C903CD"/>
    <w:rsid w:val="00C97A99"/>
    <w:rsid w:val="00CE17A1"/>
    <w:rsid w:val="00CE2487"/>
    <w:rsid w:val="00CF642D"/>
    <w:rsid w:val="00D06D9F"/>
    <w:rsid w:val="00D15AA2"/>
    <w:rsid w:val="00D17006"/>
    <w:rsid w:val="00D33678"/>
    <w:rsid w:val="00D36DDF"/>
    <w:rsid w:val="00D6684F"/>
    <w:rsid w:val="00D73655"/>
    <w:rsid w:val="00D7671E"/>
    <w:rsid w:val="00D8309A"/>
    <w:rsid w:val="00D85048"/>
    <w:rsid w:val="00D92B44"/>
    <w:rsid w:val="00DB4081"/>
    <w:rsid w:val="00DB4FDA"/>
    <w:rsid w:val="00DC5E78"/>
    <w:rsid w:val="00DD17DA"/>
    <w:rsid w:val="00DE0322"/>
    <w:rsid w:val="00DF01E3"/>
    <w:rsid w:val="00DF0C6E"/>
    <w:rsid w:val="00DF1D4B"/>
    <w:rsid w:val="00DF6514"/>
    <w:rsid w:val="00E00F80"/>
    <w:rsid w:val="00E02596"/>
    <w:rsid w:val="00E104FB"/>
    <w:rsid w:val="00E31A30"/>
    <w:rsid w:val="00E3447D"/>
    <w:rsid w:val="00E3579B"/>
    <w:rsid w:val="00E82A50"/>
    <w:rsid w:val="00E917A4"/>
    <w:rsid w:val="00EA1006"/>
    <w:rsid w:val="00EA19F8"/>
    <w:rsid w:val="00EA2ED5"/>
    <w:rsid w:val="00EB4AC5"/>
    <w:rsid w:val="00EB758A"/>
    <w:rsid w:val="00EC0819"/>
    <w:rsid w:val="00EC4925"/>
    <w:rsid w:val="00ED7079"/>
    <w:rsid w:val="00EE5055"/>
    <w:rsid w:val="00EE7679"/>
    <w:rsid w:val="00F05AB3"/>
    <w:rsid w:val="00F05E38"/>
    <w:rsid w:val="00F11B06"/>
    <w:rsid w:val="00F15441"/>
    <w:rsid w:val="00F2032A"/>
    <w:rsid w:val="00F24B08"/>
    <w:rsid w:val="00F3443B"/>
    <w:rsid w:val="00F34C49"/>
    <w:rsid w:val="00F504C8"/>
    <w:rsid w:val="00F65B28"/>
    <w:rsid w:val="00F73265"/>
    <w:rsid w:val="00F73AAD"/>
    <w:rsid w:val="00F8015E"/>
    <w:rsid w:val="00F94183"/>
    <w:rsid w:val="00F94E74"/>
    <w:rsid w:val="00F973ED"/>
    <w:rsid w:val="00FA19A8"/>
    <w:rsid w:val="00FA3866"/>
    <w:rsid w:val="00FB38AA"/>
    <w:rsid w:val="00FC629C"/>
    <w:rsid w:val="00FC6F2C"/>
    <w:rsid w:val="00FD0705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8C15"/>
  <w15:chartTrackingRefBased/>
  <w15:docId w15:val="{DF128C55-2D23-4DE6-B54C-F56F5316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67F3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7F3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67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9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A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7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95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9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FFF2D-835A-4AC7-B713-4DF226826D09}"/>
</file>

<file path=customXml/itemProps2.xml><?xml version="1.0" encoding="utf-8"?>
<ds:datastoreItem xmlns:ds="http://schemas.openxmlformats.org/officeDocument/2006/customXml" ds:itemID="{B454BF2D-AFDC-4BD2-9F51-9692B4DD4B29}"/>
</file>

<file path=customXml/itemProps3.xml><?xml version="1.0" encoding="utf-8"?>
<ds:datastoreItem xmlns:ds="http://schemas.openxmlformats.org/officeDocument/2006/customXml" ds:itemID="{4BF71921-78AE-4DD6-B5EF-D8FFB4143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Coffey (MCoffey)</dc:creator>
  <cp:keywords/>
  <dc:description/>
  <cp:lastModifiedBy>Andrea Browne (AndreaBrowne)</cp:lastModifiedBy>
  <cp:revision>3</cp:revision>
  <cp:lastPrinted>2023-12-04T11:15:00Z</cp:lastPrinted>
  <dcterms:created xsi:type="dcterms:W3CDTF">2023-12-06T19:19:00Z</dcterms:created>
  <dcterms:modified xsi:type="dcterms:W3CDTF">2023-12-06T19:20:00Z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</Properties>
</file>