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12A7" w14:textId="07BCE520" w:rsidR="003A5780" w:rsidRDefault="00A61E6D" w:rsidP="00AB39FA">
      <w:pPr>
        <w:tabs>
          <w:tab w:val="left" w:pos="3285"/>
        </w:tabs>
      </w:pP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49B5538F" wp14:editId="22973509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534145" cy="10638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145" cy="1063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780">
        <w:tab/>
      </w:r>
      <w:r w:rsidR="004B3D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41EEE3F" wp14:editId="41A6BE54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6657975" cy="9100820"/>
                <wp:effectExtent l="0" t="0" r="0" b="5080"/>
                <wp:wrapSquare wrapText="bothSides"/>
                <wp:docPr id="5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10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47C2" w14:textId="77777777" w:rsidR="003A5780" w:rsidRDefault="003A5780" w:rsidP="003A578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10632" w:type="dxa"/>
                              <w:tblInd w:w="-8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7797"/>
                              <w:gridCol w:w="1417"/>
                            </w:tblGrid>
                            <w:tr w:rsidR="003A5780" w:rsidRPr="00696BE4" w14:paraId="0E498751" w14:textId="77777777" w:rsidTr="00860BEA">
                              <w:trPr>
                                <w:tblHeader/>
                              </w:trPr>
                              <w:tc>
                                <w:tcPr>
                                  <w:tcW w:w="9215" w:type="dxa"/>
                                  <w:gridSpan w:val="2"/>
                                  <w:shd w:val="clear" w:color="auto" w:fill="8496B0" w:themeFill="text2" w:themeFillTint="99"/>
                                </w:tcPr>
                                <w:p w14:paraId="6A16B55D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>Agenda Item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8496B0" w:themeFill="text2" w:themeFillTint="99"/>
                                </w:tcPr>
                                <w:p w14:paraId="0438B377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 xml:space="preserve">Lead </w:t>
                                  </w:r>
                                </w:p>
                              </w:tc>
                            </w:tr>
                            <w:tr w:rsidR="003A5780" w14:paraId="12982F9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35D8F2E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203554" w:themeColor="accent2" w:themeShade="80"/>
                                    </w:rPr>
                                  </w:pPr>
                                  <w:r w:rsidRPr="00CE0F51"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AC</w:t>
                                  </w: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04 19/20</w:t>
                                  </w:r>
                                </w:p>
                                <w:p w14:paraId="5EEBAF3B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12AE5B6E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Governance Guidance and Information</w:t>
                                  </w:r>
                                </w:p>
                                <w:p w14:paraId="45F63B24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247A60E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>FE 02/</w:t>
                                  </w:r>
                                  <w:proofErr w:type="gramStart"/>
                                  <w:r w:rsidRPr="00D67E32">
                                    <w:t>19  Further</w:t>
                                  </w:r>
                                  <w:proofErr w:type="gramEnd"/>
                                  <w:r w:rsidRPr="00D67E32">
                                    <w:t xml:space="preserve"> Education (FE) College Accounts Direction issued 31 July 2019 </w:t>
                                  </w:r>
                                </w:p>
                                <w:p w14:paraId="61BA0F9F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9F62ADE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</w:pPr>
                                  <w:r w:rsidRPr="00D67E32"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  <w:t>Publications from Accountability &amp; Financial Management Division</w:t>
                                  </w:r>
                                </w:p>
                                <w:p w14:paraId="33D753E7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tab/>
                                  </w:r>
                                  <w:hyperlink w:anchor="mctoc1" w:history="1">
                                    <w:r w:rsidRPr="009D7A12">
                                      <w:rPr>
                                        <w:rStyle w:val="Hyperlink"/>
                                        <w:rFonts w:asciiTheme="minorHAnsi" w:eastAsia="Times New Roman" w:hAnsiTheme="minorHAnsi" w:cstheme="minorHAnsi"/>
                                        <w:color w:val="336699"/>
                                        <w:sz w:val="21"/>
                                        <w:szCs w:val="21"/>
                                      </w:rPr>
                                      <w:t>Finance Director letters (FDs) - 2019</w:t>
                                    </w:r>
                                  </w:hyperlink>
                                </w:p>
                                <w:p w14:paraId="66BA82CF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C391A64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 xml:space="preserve"> Statement of Recommended Practice (SORP) Accounting for Further and Higher Education </w:t>
                                  </w:r>
                                  <w:r>
                                    <w:t>2019 Edition (must be adopted for accounting periods beginning on or after 1 January 2019)</w:t>
                                  </w:r>
                                </w:p>
                                <w:p w14:paraId="55B623FA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78F09C2" w14:textId="77777777" w:rsidR="003A5780" w:rsidRPr="00DA6BA9" w:rsidRDefault="003A5780" w:rsidP="003A5780">
                                  <w:r>
                                    <w:t>The Committee</w:t>
                                  </w:r>
                                  <w:r w:rsidRPr="00DA6BA9">
                                    <w:t xml:space="preserve"> to note the guidance and information</w:t>
                                  </w:r>
                                  <w:r>
                                    <w:t xml:space="preserve"> received</w:t>
                                  </w:r>
                                  <w:r w:rsidRPr="00DA6BA9">
                                    <w:t>.</w:t>
                                  </w:r>
                                </w:p>
                                <w:p w14:paraId="55762C72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193EA8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5BA75EC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3661D0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AC05 19/20</w:t>
                                  </w:r>
                                  <w:r w:rsidRPr="00094EC0"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F7379D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Chair’s Business </w:t>
                                  </w:r>
                                </w:p>
                                <w:p w14:paraId="7C161C3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7459EDB" w14:textId="77777777" w:rsidR="003A578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FD6F90">
                                    <w:t>Review of Audit and Ri</w:t>
                                  </w:r>
                                  <w:r>
                                    <w:t xml:space="preserve">sk Committee Terms of Reference </w:t>
                                  </w:r>
                                  <w:proofErr w:type="gramStart"/>
                                  <w:r>
                                    <w:t>–  version</w:t>
                                  </w:r>
                                  <w:proofErr w:type="gramEnd"/>
                                  <w:r>
                                    <w:t xml:space="preserve"> dated November 2017 attached</w:t>
                                  </w:r>
                                </w:p>
                                <w:p w14:paraId="44EC23FB" w14:textId="77777777" w:rsidR="003A5780" w:rsidRPr="00FD6F9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Audit and Risk Committee Self-Assessment – Audit and Risk Committee Effectiveness November 2017 (National Audit Office)</w:t>
                                  </w:r>
                                </w:p>
                                <w:p w14:paraId="322D27B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959F8B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Chair</w:t>
                                  </w:r>
                                </w:p>
                              </w:tc>
                            </w:tr>
                            <w:tr w:rsidR="003A5780" w14:paraId="43D16361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3EEB80A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AC06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BB4A09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Financial Report </w:t>
                                  </w:r>
                                </w:p>
                                <w:p w14:paraId="0B8204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5F05A0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 xml:space="preserve">Draft Belfast Metropolitan College </w:t>
                                  </w:r>
                                  <w:r w:rsidRPr="00696BE4">
                                    <w:t>Annual Report and Accounts 2018/19</w:t>
                                  </w:r>
                                </w:p>
                                <w:p w14:paraId="40B9D01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337132F6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accounts and to approve adoption to the Governing Body.</w:t>
                                  </w:r>
                                </w:p>
                                <w:p w14:paraId="18BCE61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1D3578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5A6291F9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52DE66D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AC07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391B2CF4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Northern Ireland Audit Office Business </w:t>
                                  </w:r>
                                </w:p>
                                <w:p w14:paraId="62985BFD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A0DE07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168E9C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note the information provided by the NI Audit Office.</w:t>
                                  </w:r>
                                </w:p>
                                <w:p w14:paraId="40DC779E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4E5AE7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08D56A2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1286E4A3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AC08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BFDF9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Internal Audit Business </w:t>
                                  </w:r>
                                </w:p>
                                <w:p w14:paraId="3950541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9B6942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reports presented by Internal Audit.</w:t>
                                  </w:r>
                                </w:p>
                                <w:p w14:paraId="4C5F676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0F9BB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NIAO</w:t>
                                  </w:r>
                                </w:p>
                              </w:tc>
                            </w:tr>
                            <w:tr w:rsidR="003A5780" w14:paraId="789F794F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E5686F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AC09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8842A3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Status of Outstanding Audit Recommendations as at end Q4 2018/19</w:t>
                                  </w:r>
                                </w:p>
                                <w:p w14:paraId="6154DDD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FCF7B1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</w:t>
                                  </w:r>
                                  <w:r>
                                    <w:t>ommittee to consider and to note the actions taken by management.</w:t>
                                  </w:r>
                                </w:p>
                                <w:p w14:paraId="25B1F01B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65511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ABF75B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18FDD592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AC10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CF6FDE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Risk Management and Opportunity Report </w:t>
                                  </w:r>
                                </w:p>
                                <w:p w14:paraId="0A778C25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27481945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 xml:space="preserve">The </w:t>
                                  </w:r>
                                  <w:r>
                                    <w:t>Committee to consider and to note the actions taken by management.</w:t>
                                  </w:r>
                                </w:p>
                                <w:p w14:paraId="13FE3DE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9914C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37C21AF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E14536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ARC11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CD1B49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3412DC">
                                    <w:rPr>
                                      <w:b/>
                                    </w:rPr>
                                    <w:t xml:space="preserve">Compliance Reporting </w:t>
                                  </w:r>
                                  <w:r>
                                    <w:rPr>
                                      <w:b/>
                                    </w:rPr>
                                    <w:t>for Q4 2018/19</w:t>
                                  </w:r>
                                </w:p>
                                <w:p w14:paraId="440B15CC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8500B72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Losses and special payments</w:t>
                                  </w:r>
                                </w:p>
                                <w:p w14:paraId="31D41A8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DAC (STA) Notifications</w:t>
                                  </w:r>
                                </w:p>
                                <w:p w14:paraId="310AD901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Gifts and Hospitality</w:t>
                                  </w:r>
                                </w:p>
                                <w:p w14:paraId="0833D00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Whistleblowing Notifications</w:t>
                                  </w:r>
                                </w:p>
                                <w:p w14:paraId="46C0A67C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Data Breaches</w:t>
                                  </w:r>
                                </w:p>
                                <w:p w14:paraId="67BFCC3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0B67A0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04933D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FB27D9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  <w:p w14:paraId="1D894FA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B0BAA0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2C91CA1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ARC12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700232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>Direct Award Contracts</w:t>
                                  </w:r>
                                  <w:r>
                                    <w:rPr>
                                      <w:b/>
                                    </w:rPr>
                                    <w:t>/Single Tender Actions for Q4 2018/19</w:t>
                                  </w:r>
                                </w:p>
                                <w:p w14:paraId="1F4F1BB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38E814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3A79833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2AB273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1ED59BBF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69872BA7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ARC13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01A2A6B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 Cyber Security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7E1CC4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C65F8C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 xml:space="preserve">The Committee to consider and to note the actions taken by </w:t>
                                  </w:r>
                                  <w:proofErr w:type="gramStart"/>
                                  <w:r>
                                    <w:t>management .</w:t>
                                  </w:r>
                                  <w:proofErr w:type="gramEnd"/>
                                </w:p>
                                <w:p w14:paraId="3F052EA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DB8007" w14:textId="77777777" w:rsidR="003A5780" w:rsidRPr="00F32C76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CB71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proofErr w:type="spellStart"/>
                                  <w:r>
                                    <w:t>HoIT</w:t>
                                  </w:r>
                                  <w:proofErr w:type="spellEnd"/>
                                </w:p>
                              </w:tc>
                            </w:tr>
                            <w:tr w:rsidR="003A5780" w14:paraId="65951E50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03C4BF5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ARC14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DEC1A2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Metropolitan College GDPR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5B35B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5CC72C9A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Committee to consider and to note the actions taken by management.</w:t>
                                  </w:r>
                                </w:p>
                                <w:p w14:paraId="6006FF23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776D0D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436638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CCO</w:t>
                                  </w:r>
                                </w:p>
                              </w:tc>
                            </w:tr>
                            <w:tr w:rsidR="003A5780" w14:paraId="6B930F9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24B8CF0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ARC15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0EB5C4B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Any Other Business </w:t>
                                  </w:r>
                                </w:p>
                                <w:p w14:paraId="404082C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5E6352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7CF701D9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03C9BA3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ARC16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CF9D02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Date of next meeting </w:t>
                                  </w:r>
                                </w:p>
                                <w:p w14:paraId="46B46CB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2BCB4E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DA6BA9">
                                    <w:t>4.30pm on 11 November 2019 at Titanic Quarter Boardroom</w:t>
                                  </w:r>
                                </w:p>
                                <w:p w14:paraId="6C75C44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2B0ED500" w14:textId="77777777" w:rsidR="00EA0808" w:rsidRDefault="00EA0808" w:rsidP="003A578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EEE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0;width:524.25pt;height:716.6pt;z-index:251661824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" filled="f" stroked="f">
                <v:textbox>
                  <w:txbxContent>
                    <w:p w14:paraId="5EDD47C2" w14:textId="77777777" w:rsidR="003A5780" w:rsidRDefault="003A5780" w:rsidP="003A5780">
                      <w:pPr>
                        <w:spacing w:after="0" w:line="240" w:lineRule="auto"/>
                      </w:pPr>
                      <w:r>
                        <w:tab/>
                      </w:r>
                    </w:p>
                    <w:tbl>
                      <w:tblPr>
                        <w:tblStyle w:val="TableGrid"/>
                        <w:tblW w:w="10632" w:type="dxa"/>
                        <w:tblInd w:w="-856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7797"/>
                        <w:gridCol w:w="1417"/>
                      </w:tblGrid>
                      <w:tr w:rsidR="003A5780" w:rsidRPr="00696BE4" w14:paraId="0E498751" w14:textId="77777777" w:rsidTr="00860BEA">
                        <w:trPr>
                          <w:tblHeader/>
                        </w:trPr>
                        <w:tc>
                          <w:tcPr>
                            <w:tcW w:w="9215" w:type="dxa"/>
                            <w:gridSpan w:val="2"/>
                            <w:shd w:val="clear" w:color="auto" w:fill="8496B0" w:themeFill="text2" w:themeFillTint="99"/>
                          </w:tcPr>
                          <w:p w14:paraId="6A16B55D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>Agenda Item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8496B0" w:themeFill="text2" w:themeFillTint="99"/>
                          </w:tcPr>
                          <w:p w14:paraId="0438B377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 xml:space="preserve">Lead </w:t>
                            </w:r>
                          </w:p>
                        </w:tc>
                      </w:tr>
                      <w:tr w:rsidR="003A5780" w14:paraId="12982F95" w14:textId="77777777" w:rsidTr="00860BEA">
                        <w:tc>
                          <w:tcPr>
                            <w:tcW w:w="1418" w:type="dxa"/>
                          </w:tcPr>
                          <w:p w14:paraId="35D8F2E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203554" w:themeColor="accent2" w:themeShade="80"/>
                              </w:rPr>
                            </w:pPr>
                            <w:r w:rsidRPr="00CE0F51">
                              <w:rPr>
                                <w:b/>
                                <w:color w:val="203554" w:themeColor="accent2" w:themeShade="80"/>
                              </w:rPr>
                              <w:t>AC</w:t>
                            </w: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>04 19/20</w:t>
                            </w:r>
                          </w:p>
                          <w:p w14:paraId="5EEBAF3B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12AE5B6E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Governance Guidance and Information</w:t>
                            </w:r>
                          </w:p>
                          <w:p w14:paraId="45F63B24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1247A60E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>FE 02/</w:t>
                            </w:r>
                            <w:proofErr w:type="gramStart"/>
                            <w:r w:rsidRPr="00D67E32">
                              <w:t>19  Further</w:t>
                            </w:r>
                            <w:proofErr w:type="gramEnd"/>
                            <w:r w:rsidRPr="00D67E32">
                              <w:t xml:space="preserve"> Education (FE) College Accounts Direction issued 31 July 2019 </w:t>
                            </w:r>
                          </w:p>
                          <w:p w14:paraId="61BA0F9F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9F62ADE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</w:pPr>
                            <w:r w:rsidRPr="00D67E32"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  <w:t>Publications from Accountability &amp; Financial Management Division</w:t>
                            </w:r>
                          </w:p>
                          <w:p w14:paraId="33D753E7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hyperlink w:anchor="mctoc1" w:history="1">
                              <w:r w:rsidRPr="009D7A12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  <w:color w:val="336699"/>
                                  <w:sz w:val="21"/>
                                  <w:szCs w:val="21"/>
                                </w:rPr>
                                <w:t>Finance Director letters (FDs) - 2019</w:t>
                              </w:r>
                            </w:hyperlink>
                          </w:p>
                          <w:p w14:paraId="66BA82CF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</w:p>
                          <w:p w14:paraId="1C391A64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 xml:space="preserve"> Statement of Recommended Practice (SORP) Accounting for Further and Higher Education </w:t>
                            </w:r>
                            <w:r>
                              <w:t>2019 Edition (must be adopted for accounting periods beginning on or after 1 January 2019)</w:t>
                            </w:r>
                          </w:p>
                          <w:p w14:paraId="55B623FA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478F09C2" w14:textId="77777777" w:rsidR="003A5780" w:rsidRPr="00DA6BA9" w:rsidRDefault="003A5780" w:rsidP="003A5780">
                            <w:r>
                              <w:t>The Committee</w:t>
                            </w:r>
                            <w:r w:rsidRPr="00DA6BA9">
                              <w:t xml:space="preserve"> to note the guidance and information</w:t>
                            </w:r>
                            <w:r>
                              <w:t xml:space="preserve"> received</w:t>
                            </w:r>
                            <w:r w:rsidRPr="00DA6BA9">
                              <w:t>.</w:t>
                            </w:r>
                          </w:p>
                          <w:p w14:paraId="55762C72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193EA8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5BA75EC5" w14:textId="77777777" w:rsidTr="00860BEA">
                        <w:tc>
                          <w:tcPr>
                            <w:tcW w:w="1418" w:type="dxa"/>
                          </w:tcPr>
                          <w:p w14:paraId="73661D0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AC05 19/20</w:t>
                            </w:r>
                            <w:r w:rsidRPr="00094EC0">
                              <w:rPr>
                                <w:b/>
                                <w:color w:val="30507E" w:themeColor="accent2" w:themeShade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F7379D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Chair’s Business </w:t>
                            </w:r>
                          </w:p>
                          <w:p w14:paraId="7C161C3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7459EDB" w14:textId="77777777" w:rsidR="003A578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D6F90">
                              <w:t>Review of Audit and Ri</w:t>
                            </w:r>
                            <w:r>
                              <w:t xml:space="preserve">sk Committee Terms of Reference </w:t>
                            </w:r>
                            <w:proofErr w:type="gramStart"/>
                            <w:r>
                              <w:t>–  version</w:t>
                            </w:r>
                            <w:proofErr w:type="gramEnd"/>
                            <w:r>
                              <w:t xml:space="preserve"> dated November 2017 attached</w:t>
                            </w:r>
                          </w:p>
                          <w:p w14:paraId="44EC23FB" w14:textId="77777777" w:rsidR="003A5780" w:rsidRPr="00FD6F9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Audit and Risk Committee Self-Assessment – Audit and Risk Committee Effectiveness November 2017 (National Audit Office)</w:t>
                            </w:r>
                          </w:p>
                          <w:p w14:paraId="322D27B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959F8B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Chair</w:t>
                            </w:r>
                          </w:p>
                        </w:tc>
                      </w:tr>
                      <w:tr w:rsidR="003A5780" w14:paraId="43D16361" w14:textId="77777777" w:rsidTr="00860BEA">
                        <w:tc>
                          <w:tcPr>
                            <w:tcW w:w="1418" w:type="dxa"/>
                          </w:tcPr>
                          <w:p w14:paraId="3EEB80A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AC06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BB4A09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Financial Report </w:t>
                            </w:r>
                          </w:p>
                          <w:p w14:paraId="0B8204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5F05A0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 xml:space="preserve">Draft Belfast Metropolitan College </w:t>
                            </w:r>
                            <w:r w:rsidRPr="00696BE4">
                              <w:t>Annual Report and Accounts 2018/19</w:t>
                            </w:r>
                          </w:p>
                          <w:p w14:paraId="40B9D01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337132F6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accounts and to approve adoption to the Governing Body.</w:t>
                            </w:r>
                          </w:p>
                          <w:p w14:paraId="18BCE61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1D3578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5A6291F9" w14:textId="77777777" w:rsidTr="00860BEA">
                        <w:tc>
                          <w:tcPr>
                            <w:tcW w:w="1418" w:type="dxa"/>
                          </w:tcPr>
                          <w:p w14:paraId="52DE66D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AC07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391B2CF4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Northern Ireland Audit Office Business </w:t>
                            </w:r>
                          </w:p>
                          <w:p w14:paraId="62985BFD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A0DE07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168E9C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note the information provided by the NI Audit Office.</w:t>
                            </w:r>
                          </w:p>
                          <w:p w14:paraId="40DC779E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4E5AE7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08D56A2A" w14:textId="77777777" w:rsidTr="00860BEA">
                        <w:tc>
                          <w:tcPr>
                            <w:tcW w:w="1418" w:type="dxa"/>
                          </w:tcPr>
                          <w:p w14:paraId="1286E4A3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AC08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BFDF9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Internal Audit Business </w:t>
                            </w:r>
                          </w:p>
                          <w:p w14:paraId="3950541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9B6942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reports presented by Internal Audit.</w:t>
                            </w:r>
                          </w:p>
                          <w:p w14:paraId="4C5F676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30F9BB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NIAO</w:t>
                            </w:r>
                          </w:p>
                        </w:tc>
                      </w:tr>
                      <w:tr w:rsidR="003A5780" w14:paraId="789F794F" w14:textId="77777777" w:rsidTr="00860BEA">
                        <w:tc>
                          <w:tcPr>
                            <w:tcW w:w="1418" w:type="dxa"/>
                          </w:tcPr>
                          <w:p w14:paraId="7E5686F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AC09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8842A3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Status of Outstanding Audit Recommendations as at end Q4 2018/19</w:t>
                            </w:r>
                          </w:p>
                          <w:p w14:paraId="6154DDD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FCF7B1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</w:t>
                            </w:r>
                            <w:r>
                              <w:t>ommittee to consider and to note the actions taken by management.</w:t>
                            </w:r>
                          </w:p>
                          <w:p w14:paraId="25B1F01B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65511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ABF75BA" w14:textId="77777777" w:rsidTr="00860BEA">
                        <w:tc>
                          <w:tcPr>
                            <w:tcW w:w="1418" w:type="dxa"/>
                          </w:tcPr>
                          <w:p w14:paraId="18FDD592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AC10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CF6FDE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Risk Management and Opportunity Report </w:t>
                            </w:r>
                          </w:p>
                          <w:p w14:paraId="0A778C25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27481945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 xml:space="preserve">The </w:t>
                            </w:r>
                            <w:r>
                              <w:t>Committee to consider and to note the actions taken by management.</w:t>
                            </w:r>
                          </w:p>
                          <w:p w14:paraId="13FE3DE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B9914C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37C21AFA" w14:textId="77777777" w:rsidTr="00860BEA">
                        <w:tc>
                          <w:tcPr>
                            <w:tcW w:w="1418" w:type="dxa"/>
                          </w:tcPr>
                          <w:p w14:paraId="7E14536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ARC11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CD1B49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3412DC">
                              <w:rPr>
                                <w:b/>
                              </w:rPr>
                              <w:t xml:space="preserve">Compliance Reporting </w:t>
                            </w:r>
                            <w:r>
                              <w:rPr>
                                <w:b/>
                              </w:rPr>
                              <w:t>for Q4 2018/19</w:t>
                            </w:r>
                          </w:p>
                          <w:p w14:paraId="440B15CC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8500B72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Losses and special payments</w:t>
                            </w:r>
                          </w:p>
                          <w:p w14:paraId="31D41A8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DAC (STA) Notifications</w:t>
                            </w:r>
                          </w:p>
                          <w:p w14:paraId="310AD901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Gifts and Hospitality</w:t>
                            </w:r>
                          </w:p>
                          <w:p w14:paraId="0833D00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Whistleblowing Notifications</w:t>
                            </w:r>
                          </w:p>
                          <w:p w14:paraId="46C0A67C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Data Breaches</w:t>
                            </w:r>
                          </w:p>
                          <w:p w14:paraId="67BFCC3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0B67A0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04933D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FB27D9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  <w:p w14:paraId="1D894FA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B0BAA0A" w14:textId="77777777" w:rsidTr="00860BEA">
                        <w:tc>
                          <w:tcPr>
                            <w:tcW w:w="1418" w:type="dxa"/>
                          </w:tcPr>
                          <w:p w14:paraId="2C91CA1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ARC12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700232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>Direct Award Contracts</w:t>
                            </w:r>
                            <w:r>
                              <w:rPr>
                                <w:b/>
                              </w:rPr>
                              <w:t>/Single Tender Actions for Q4 2018/19</w:t>
                            </w:r>
                          </w:p>
                          <w:p w14:paraId="1F4F1BB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38E814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3A79833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2AB273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1ED59BBF" w14:textId="77777777" w:rsidTr="00860BEA">
                        <w:tc>
                          <w:tcPr>
                            <w:tcW w:w="1418" w:type="dxa"/>
                          </w:tcPr>
                          <w:p w14:paraId="69872BA7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ARC13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01A2A6B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 Cyber Security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7E1CC4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C65F8C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 xml:space="preserve">The Committee to consider and to note the actions taken by </w:t>
                            </w:r>
                            <w:proofErr w:type="gramStart"/>
                            <w:r>
                              <w:t>management .</w:t>
                            </w:r>
                            <w:proofErr w:type="gramEnd"/>
                          </w:p>
                          <w:p w14:paraId="3F052EA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DB8007" w14:textId="77777777" w:rsidR="003A5780" w:rsidRPr="00F32C76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CB71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proofErr w:type="spellStart"/>
                            <w:r>
                              <w:t>HoIT</w:t>
                            </w:r>
                            <w:proofErr w:type="spellEnd"/>
                          </w:p>
                        </w:tc>
                      </w:tr>
                      <w:tr w:rsidR="003A5780" w14:paraId="65951E50" w14:textId="77777777" w:rsidTr="00860BEA">
                        <w:tc>
                          <w:tcPr>
                            <w:tcW w:w="1418" w:type="dxa"/>
                          </w:tcPr>
                          <w:p w14:paraId="03C4BF5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ARC14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DEC1A2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Metropolitan College GDPR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5B35B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5CC72C9A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Committee to consider and to note the actions taken by management.</w:t>
                            </w:r>
                          </w:p>
                          <w:p w14:paraId="6006FF23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776D0D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436638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CCO</w:t>
                            </w:r>
                          </w:p>
                        </w:tc>
                      </w:tr>
                      <w:tr w:rsidR="003A5780" w14:paraId="6B930F95" w14:textId="77777777" w:rsidTr="00860BEA">
                        <w:tc>
                          <w:tcPr>
                            <w:tcW w:w="1418" w:type="dxa"/>
                          </w:tcPr>
                          <w:p w14:paraId="24B8CF0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ARC15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0EB5C4B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Any Other Business </w:t>
                            </w:r>
                          </w:p>
                          <w:p w14:paraId="404082C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5E6352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7CF701D9" w14:textId="77777777" w:rsidTr="00860BEA">
                        <w:tc>
                          <w:tcPr>
                            <w:tcW w:w="1418" w:type="dxa"/>
                          </w:tcPr>
                          <w:p w14:paraId="03C9BA3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ARC16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CF9D02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Date of next meeting </w:t>
                            </w:r>
                          </w:p>
                          <w:p w14:paraId="46B46CB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2BCB4E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DA6BA9">
                              <w:t>4.30pm on 11 November 2019 at Titanic Quarter Boardroom</w:t>
                            </w:r>
                          </w:p>
                          <w:p w14:paraId="6C75C44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</w:tbl>
                    <w:p w14:paraId="2B0ED500" w14:textId="77777777" w:rsidR="00EA0808" w:rsidRDefault="00EA0808" w:rsidP="003A5780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B769E4" w14:textId="483E4674" w:rsidR="00631963" w:rsidRDefault="00631963"/>
    <w:p w14:paraId="02D44688" w14:textId="74AEC3F4" w:rsidR="00CB38C8" w:rsidRDefault="00773553" w:rsidP="00CB38C8">
      <w:pPr>
        <w:tabs>
          <w:tab w:val="right" w:pos="9026"/>
        </w:tabs>
      </w:pPr>
      <w:bookmarkStart w:id="0" w:name="_Hlk107916413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6691B6" wp14:editId="00DE74F2">
                <wp:simplePos x="0" y="0"/>
                <wp:positionH relativeFrom="page">
                  <wp:posOffset>552450</wp:posOffset>
                </wp:positionH>
                <wp:positionV relativeFrom="paragraph">
                  <wp:posOffset>409575</wp:posOffset>
                </wp:positionV>
                <wp:extent cx="6667500" cy="7781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8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6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2"/>
                              <w:gridCol w:w="9002"/>
                            </w:tblGrid>
                            <w:tr w:rsidR="00F2100D" w14:paraId="5B032195" w14:textId="7D2A98C6" w:rsidTr="00D76BD5">
                              <w:trPr>
                                <w:trHeight w:val="55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36B4E5" w:themeFill="accent1"/>
                                </w:tcPr>
                                <w:p w14:paraId="66217C42" w14:textId="77777777" w:rsidR="00832E0E" w:rsidRPr="00832E0E" w:rsidRDefault="000160C2" w:rsidP="003A578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Belfast Metropolitan College Resources Committee </w:t>
                                  </w:r>
                                </w:p>
                                <w:p w14:paraId="4335BBDA" w14:textId="77777777" w:rsidR="00832E0E" w:rsidRPr="00832E0E" w:rsidRDefault="00832E0E" w:rsidP="003A578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8BDAD7" w14:textId="566D957F" w:rsidR="00832E0E" w:rsidRPr="00832E0E" w:rsidRDefault="000160C2" w:rsidP="003A578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386A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  <w:r w:rsidR="00A101A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on Wednesday </w:t>
                                  </w:r>
                                  <w:r w:rsidR="001C39D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A101A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June 2024 </w:t>
                                  </w:r>
                                  <w:r w:rsid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in the Board </w:t>
                                  </w:r>
                                  <w:r w:rsidR="00606DF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oom, </w:t>
                                  </w:r>
                                  <w:r w:rsidR="00E5684D"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Titanic Quarter </w:t>
                                  </w:r>
                                  <w:r w:rsidR="008D78DA"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Campus </w:t>
                                  </w:r>
                                  <w:r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and via Microsoft Teams </w:t>
                                  </w:r>
                                </w:p>
                                <w:p w14:paraId="2E1E74DD" w14:textId="77777777" w:rsidR="00832E0E" w:rsidRPr="00832E0E" w:rsidRDefault="00832E0E" w:rsidP="003A578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894C03" w14:textId="28C6632A" w:rsidR="000160C2" w:rsidRPr="00156546" w:rsidRDefault="00F75F02" w:rsidP="003A5780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Minutes</w:t>
                                  </w:r>
                                  <w:r w:rsidR="000160C2" w:rsidRPr="00832E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32E0E" w:rsidRPr="00156546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156546" w:rsidRPr="00156546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Approved 5 September </w:t>
                                  </w:r>
                                  <w:r w:rsidRPr="00156546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A101AD" w:rsidRPr="00156546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024</w:t>
                                  </w:r>
                                  <w:r w:rsidR="00832E0E" w:rsidRPr="00156546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6633D392" w14:textId="545CA7C7" w:rsidR="00832E0E" w:rsidRPr="00CE0F51" w:rsidRDefault="00832E0E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2100D" w14:paraId="27E2E82F" w14:textId="031CD763" w:rsidTr="00D76BD5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auto"/>
                                </w:tcPr>
                                <w:p w14:paraId="56FBE5E4" w14:textId="08CCD3E3" w:rsidR="000160C2" w:rsidRPr="00273306" w:rsidRDefault="000160C2" w:rsidP="004B12C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 xml:space="preserve">Committee Members:  </w:t>
                                  </w:r>
                                  <w:r w:rsidRPr="00684026">
                                    <w:t>Seamus Dawson (Chair);</w:t>
                                  </w:r>
                                  <w:r>
                                    <w:t xml:space="preserve"> Yvonne Murphy; Lauren McAteer</w:t>
                                  </w:r>
                                  <w:r w:rsidR="00804F5E">
                                    <w:t xml:space="preserve">; </w:t>
                                  </w:r>
                                  <w:r>
                                    <w:t xml:space="preserve">Michael McKernan; Tom Hesketh;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Janis Lead</w:t>
                                  </w:r>
                                  <w:r w:rsidR="00410BD0">
                                    <w:rPr>
                                      <w:rFonts w:asciiTheme="minorHAnsi" w:hAnsiTheme="minorHAnsi" w:cstheme="minorHAnsi"/>
                                    </w:rPr>
                                    <w:t>en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; Owen McCaughey</w:t>
                                  </w:r>
                                  <w:r w:rsidR="00F169A2">
                                    <w:rPr>
                                      <w:rFonts w:asciiTheme="minorHAnsi" w:hAnsiTheme="minorHAnsi" w:cstheme="minorHAnsi"/>
                                    </w:rPr>
                                    <w:t>;</w:t>
                                  </w:r>
                                  <w:r w:rsidR="00410BD0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410BD0">
                                    <w:t>Michael Mearns</w:t>
                                  </w:r>
                                  <w:r w:rsidR="00F169A2">
                                    <w:t>;</w:t>
                                  </w:r>
                                  <w:r w:rsidR="00410BD0"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Louise Warde Hunter, Principal &amp; Chief Executive</w:t>
                                  </w:r>
                                </w:p>
                                <w:p w14:paraId="18AF3273" w14:textId="77777777" w:rsidR="000160C2" w:rsidRDefault="000160C2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42F185B" w14:textId="1C52A331" w:rsidR="000160C2" w:rsidRPr="00805171" w:rsidRDefault="000160C2" w:rsidP="0097460B">
                                  <w:r w:rsidRPr="00CE0F51">
                                    <w:rPr>
                                      <w:b/>
                                    </w:rPr>
                                    <w:t xml:space="preserve">Management: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568C0">
                                    <w:rPr>
                                      <w:bCs/>
                                    </w:rPr>
                                    <w:t>Aidan Sloan</w:t>
                                  </w:r>
                                  <w:r>
                                    <w:rPr>
                                      <w:bCs/>
                                    </w:rPr>
                                    <w:t>e, Chief Operating Officer (COO); Damian Duffy, Deputy Chief Executive (Curriculum and Partnerships)</w:t>
                                  </w:r>
                                  <w:r w:rsidR="00551DEB">
                                    <w:rPr>
                                      <w:bCs/>
                                    </w:rPr>
                                    <w:t xml:space="preserve"> (DCE</w:t>
                                  </w:r>
                                  <w:proofErr w:type="gramStart"/>
                                  <w:r w:rsidR="00551DEB">
                                    <w:rPr>
                                      <w:bCs/>
                                    </w:rPr>
                                    <w:t>)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;  </w:t>
                                  </w:r>
                                  <w:r w:rsidRPr="00665BFB">
                                    <w:t>Laura</w:t>
                                  </w:r>
                                  <w:proofErr w:type="gramEnd"/>
                                  <w:r w:rsidRPr="00665BFB">
                                    <w:t xml:space="preserve"> Allen, Head of Finance (HF);</w:t>
                                  </w:r>
                                  <w:r>
                                    <w:t xml:space="preserve"> Kristian Kinnaird Head of IT (HIT); Siobhan Lyons, Head of CEDSI (HCEDSI); </w:t>
                                  </w:r>
                                  <w:r w:rsidR="00E70A7C">
                                    <w:t xml:space="preserve"> Peter Kane, </w:t>
                                  </w:r>
                                  <w:r>
                                    <w:t>Head of Estate and Facilities Management (HEFM)</w:t>
                                  </w:r>
                                </w:p>
                                <w:p w14:paraId="6DC625D6" w14:textId="77777777" w:rsidR="000160C2" w:rsidRDefault="000160C2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5A66738" w14:textId="68DE7616" w:rsidR="000160C2" w:rsidRPr="00F2100D" w:rsidRDefault="00537507" w:rsidP="004B12C7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Chief Executive’s Support Manager for </w:t>
                                  </w:r>
                                  <w:r w:rsidR="000160C2" w:rsidRPr="00CE0F51">
                                    <w:rPr>
                                      <w:b/>
                                    </w:rPr>
                                    <w:t xml:space="preserve">Clerk to the Governing Body: </w:t>
                                  </w:r>
                                  <w:r w:rsidR="00F2100D">
                                    <w:rPr>
                                      <w:bCs/>
                                    </w:rPr>
                                    <w:t>Andrea Browne</w:t>
                                  </w:r>
                                </w:p>
                                <w:p w14:paraId="047FB00F" w14:textId="77777777" w:rsidR="000160C2" w:rsidRPr="00CE0F51" w:rsidRDefault="000160C2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76BD5" w14:paraId="6A96806E" w14:textId="7CED658E" w:rsidTr="00D76BD5">
                              <w:trPr>
                                <w:trHeight w:val="495"/>
                              </w:trPr>
                              <w:tc>
                                <w:tcPr>
                                  <w:tcW w:w="576" w:type="pct"/>
                                  <w:vMerge w:val="restart"/>
                                </w:tcPr>
                                <w:p w14:paraId="46F22CFD" w14:textId="3E9B755F" w:rsidR="00D76BD5" w:rsidRPr="00DA2BE3" w:rsidRDefault="00D76BD5" w:rsidP="00773553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RC47 23/24</w:t>
                                  </w:r>
                                  <w:r w:rsidRPr="00DA2BE3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24" w:type="pct"/>
                                  <w:vMerge w:val="restart"/>
                                </w:tcPr>
                                <w:p w14:paraId="53B4BE8D" w14:textId="082EEBA0" w:rsidR="00D76BD5" w:rsidRPr="00CE0F51" w:rsidRDefault="00D76BD5" w:rsidP="00773553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Quorum, Apologies, Welcome,</w:t>
                                  </w: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 xml:space="preserve"> Conflicts of Interest, Notice of AOB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and Leadership Culture</w:t>
                                  </w:r>
                                </w:p>
                                <w:p w14:paraId="57FEFC7D" w14:textId="6089293E" w:rsidR="00D76BD5" w:rsidRPr="00CE0F51" w:rsidRDefault="00D76BD5" w:rsidP="00773553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032B68A9" w14:textId="721F2C9E" w:rsidR="00D76BD5" w:rsidRPr="00B1399F" w:rsidRDefault="00D76BD5" w:rsidP="00773553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:  The meeting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was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quorate under the terms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Section 6.2 of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Terms of 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eferenc</w:t>
                                  </w:r>
                                  <w:r w:rsidRPr="00B41647">
                                    <w:rPr>
                                      <w:rFonts w:cs="Arial"/>
                                      <w:color w:val="000000" w:themeColor="text1"/>
                                    </w:rPr>
                                    <w:t xml:space="preserve">e </w:t>
                                  </w:r>
                                  <w:r w:rsidRPr="00B41647">
                                    <w:rPr>
                                      <w:b/>
                                      <w:color w:val="000000" w:themeColor="text1"/>
                                    </w:rPr>
                                    <w:t>V3</w:t>
                                  </w:r>
                                  <w:r w:rsidRPr="00B41647">
                                    <w:rPr>
                                      <w:rFonts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of the Resources Committee approved by the Governing Body at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GB81a 21/22 22 June 2022 </w:t>
                                  </w:r>
                                  <w:r>
                                    <w:rPr>
                                      <w:bCs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2 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>Governors).</w:t>
                                  </w:r>
                                </w:p>
                                <w:p w14:paraId="3DBF12B0" w14:textId="77777777" w:rsidR="00D76BD5" w:rsidRDefault="00D76BD5" w:rsidP="00773553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6C293C5F" w14:textId="5CFD563F" w:rsidR="00D76BD5" w:rsidRPr="00833687" w:rsidRDefault="00D76BD5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Apologies: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>Received from Louise Warde Hunter</w:t>
                                  </w:r>
                                  <w:r w:rsidR="00EC0CBE">
                                    <w:rPr>
                                      <w:rFonts w:cs="Arial"/>
                                      <w:bCs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>Laura Allen</w:t>
                                  </w:r>
                                  <w:r w:rsidR="00EC0CBE">
                                    <w:rPr>
                                      <w:rFonts w:cs="Arial"/>
                                      <w:bCs/>
                                    </w:rPr>
                                    <w:t>, Owen McCaughey.</w:t>
                                  </w:r>
                                </w:p>
                                <w:p w14:paraId="61EB1EF4" w14:textId="140F653D" w:rsidR="00D76BD5" w:rsidRDefault="00D76BD5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279E5CA" w14:textId="49804BE2" w:rsidR="00D76BD5" w:rsidRPr="00833687" w:rsidRDefault="00D76BD5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4A6462">
                                    <w:rPr>
                                      <w:rFonts w:cs="Arial"/>
                                      <w:b/>
                                    </w:rPr>
                                    <w:t>Welcome: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Michael Mearns to his first Resources Committee meeting </w:t>
                                  </w:r>
                                </w:p>
                                <w:p w14:paraId="4FD873A0" w14:textId="6765A85D" w:rsidR="00D76BD5" w:rsidRDefault="00D76BD5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C655F99" w14:textId="25E9CB25" w:rsidR="00D76BD5" w:rsidRPr="00B1399F" w:rsidRDefault="00D76BD5" w:rsidP="00773553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="00551DEB">
                                    <w:rPr>
                                      <w:rFonts w:cs="Calibri"/>
                                    </w:rPr>
                                    <w:t xml:space="preserve"> reported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DD45AD">
                                    <w:rPr>
                                      <w:rFonts w:cs="Calibri"/>
                                      <w:b/>
                                    </w:rPr>
                                    <w:t xml:space="preserve">perceived, </w:t>
                                  </w:r>
                                  <w:proofErr w:type="gramStart"/>
                                  <w:r w:rsidRPr="00DD45AD">
                                    <w:rPr>
                                      <w:rFonts w:cs="Calibri"/>
                                      <w:b/>
                                    </w:rPr>
                                    <w:t>potential</w:t>
                                  </w:r>
                                  <w:proofErr w:type="gramEnd"/>
                                  <w:r w:rsidRPr="00DD45AD">
                                    <w:rPr>
                                      <w:rFonts w:cs="Calibri"/>
                                      <w:b/>
                                    </w:rPr>
                                    <w:t xml:space="preserve"> or actual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>conflicts of int</w:t>
                                  </w:r>
                                  <w:r w:rsidR="005515CA">
                                    <w:rPr>
                                      <w:rFonts w:cs="Calibri"/>
                                    </w:rPr>
                                    <w:t xml:space="preserve">erest 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>under the terms of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Section 8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.1 of the Belfast Metropolitan College Governing Body Standing Orders </w:t>
                                  </w:r>
                                  <w:r w:rsidRPr="009147C8">
                                    <w:rPr>
                                      <w:rFonts w:cs="Calibri"/>
                                    </w:rPr>
                                    <w:t xml:space="preserve">V5 approved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by the Governing Body at </w:t>
                                  </w:r>
                                  <w:r>
                                    <w:rPr>
                                      <w:b/>
                                    </w:rPr>
                                    <w:t>GB81a 21/22 22 June 2022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6DF55962" w14:textId="77777777" w:rsidR="00D76BD5" w:rsidRPr="00CE0F51" w:rsidRDefault="00D76BD5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872FF68" w14:textId="6BF14C1C" w:rsidR="00D76BD5" w:rsidRPr="00CE0F51" w:rsidRDefault="00D76BD5" w:rsidP="00773553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No Items of AOB</w:t>
                                  </w:r>
                                  <w:r w:rsidR="00155440">
                                    <w:rPr>
                                      <w:rFonts w:cs="Arial"/>
                                    </w:rPr>
                                    <w:t xml:space="preserve"> raised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58437B90" w14:textId="77777777" w:rsidR="00D76BD5" w:rsidRDefault="00D76BD5" w:rsidP="0077355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FA8A207" w14:textId="04E97A09" w:rsidR="00D76BD5" w:rsidRDefault="00D76BD5" w:rsidP="00773553">
                                  <w:pPr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 </w:t>
                                  </w:r>
                                  <w:r w:rsidRPr="0062210A">
                                    <w:rPr>
                                      <w:b/>
                                      <w:bCs/>
                                    </w:rPr>
                                    <w:t>n</w:t>
                                  </w:r>
                                  <w:r w:rsidRPr="0036297E">
                                    <w:rPr>
                                      <w:b/>
                                      <w:bCs/>
                                    </w:rPr>
                                    <w:t>ote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  <w:r>
                                    <w:t xml:space="preserve"> Governor commitment to Governing Body Leadership Culture Watchwords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(</w:t>
                                  </w:r>
                                  <w:r w:rsidRPr="00321F6E">
                                    <w:rPr>
                                      <w:rFonts w:cstheme="minorHAnsi"/>
                                      <w:b/>
                                    </w:rPr>
                                    <w:t>GB02d 22/23 21 September 2022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435CCDDF" w14:textId="77777777" w:rsidR="00D76BD5" w:rsidRDefault="00D76BD5" w:rsidP="00773553"/>
                                <w:p w14:paraId="5A52A9FE" w14:textId="15231705" w:rsidR="00D76BD5" w:rsidRPr="00493229" w:rsidRDefault="00D76BD5" w:rsidP="00773553">
                                  <w:pPr>
                                    <w:contextualSpacing/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ab/>
                                  </w: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 xml:space="preserve">Courageous / Creative / Candour / </w:t>
                                  </w:r>
                                  <w:proofErr w:type="gramStart"/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>Challenge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(</w:t>
                                  </w:r>
                                  <w:proofErr w:type="gramEnd"/>
                                  <w:r w:rsidRPr="00307FD3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>RC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>59</w:t>
                                  </w:r>
                                  <w:r w:rsidRPr="00307FD3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 xml:space="preserve"> 22/23</w:t>
                                  </w:r>
                                  <w:r w:rsidRPr="00307FD3">
                                    <w:rPr>
                                      <w:rFonts w:eastAsia="Times New Roman"/>
                                      <w:color w:val="188DBB" w:themeColor="accent1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below refers)</w:t>
                                  </w:r>
                                </w:p>
                                <w:p w14:paraId="6EBD2DE4" w14:textId="303F0F47" w:rsidR="00D76BD5" w:rsidRPr="00CE0F51" w:rsidRDefault="00D76BD5" w:rsidP="0077355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76BD5" w14:paraId="7EA2BEB9" w14:textId="77777777" w:rsidTr="00D76BD5">
                              <w:trPr>
                                <w:trHeight w:val="4860"/>
                              </w:trPr>
                              <w:tc>
                                <w:tcPr>
                                  <w:tcW w:w="576" w:type="pct"/>
                                  <w:vMerge/>
                                </w:tcPr>
                                <w:p w14:paraId="558FDE4C" w14:textId="77777777" w:rsidR="00D76BD5" w:rsidRDefault="00D76BD5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4" w:type="pct"/>
                                  <w:vMerge/>
                                </w:tcPr>
                                <w:p w14:paraId="0B4FE7F3" w14:textId="77777777" w:rsidR="00D76BD5" w:rsidRDefault="00D76BD5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12B4C" w14:textId="77777777" w:rsidR="00D17E73" w:rsidRDefault="00D17E73" w:rsidP="00D17E73"/>
                          <w:p w14:paraId="4486F566" w14:textId="77777777" w:rsidR="003A5780" w:rsidRDefault="003A57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691B6" id="_x0000_s1027" type="#_x0000_t202" style="position:absolute;margin-left:43.5pt;margin-top:32.25pt;width:525pt;height:612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4986" w:type="pct"/>
                        <w:tblLook w:val="04A0" w:firstRow="1" w:lastRow="0" w:firstColumn="1" w:lastColumn="0" w:noHBand="0" w:noVBand="1"/>
                      </w:tblPr>
                      <w:tblGrid>
                        <w:gridCol w:w="1172"/>
                        <w:gridCol w:w="9002"/>
                      </w:tblGrid>
                      <w:tr w:rsidR="00F2100D" w14:paraId="5B032195" w14:textId="7D2A98C6" w:rsidTr="00D76BD5">
                        <w:trPr>
                          <w:trHeight w:val="558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36B4E5" w:themeFill="accent1"/>
                          </w:tcPr>
                          <w:p w14:paraId="66217C42" w14:textId="77777777" w:rsidR="00832E0E" w:rsidRPr="00832E0E" w:rsidRDefault="000160C2" w:rsidP="003A57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Belfast Metropolitan College Resources Committee </w:t>
                            </w:r>
                          </w:p>
                          <w:p w14:paraId="4335BBDA" w14:textId="77777777" w:rsidR="00832E0E" w:rsidRPr="00832E0E" w:rsidRDefault="00832E0E" w:rsidP="003A57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8BDAD7" w14:textId="566D957F" w:rsidR="00832E0E" w:rsidRPr="00832E0E" w:rsidRDefault="000160C2" w:rsidP="003A57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2E0E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386A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2E0E">
                              <w:rPr>
                                <w:b/>
                                <w:sz w:val="24"/>
                                <w:szCs w:val="24"/>
                              </w:rPr>
                              <w:t>pm</w:t>
                            </w:r>
                            <w:r w:rsidR="00A101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on Wednesday </w:t>
                            </w:r>
                            <w:r w:rsidR="001C39DF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A101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June 2024 </w:t>
                            </w:r>
                            <w:r w:rsid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the Board </w:t>
                            </w:r>
                            <w:r w:rsidR="00606DF5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oom, </w:t>
                            </w:r>
                            <w:r w:rsidR="00E5684D"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Titanic Quarter </w:t>
                            </w:r>
                            <w:r w:rsidR="008D78DA"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Campus </w:t>
                            </w:r>
                            <w:r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and via Microsoft Teams </w:t>
                            </w:r>
                          </w:p>
                          <w:p w14:paraId="2E1E74DD" w14:textId="77777777" w:rsidR="00832E0E" w:rsidRPr="00832E0E" w:rsidRDefault="00832E0E" w:rsidP="003A57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894C03" w14:textId="28C6632A" w:rsidR="000160C2" w:rsidRPr="00156546" w:rsidRDefault="00F75F02" w:rsidP="003A5780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Minutes</w:t>
                            </w:r>
                            <w:r w:rsidR="000160C2" w:rsidRPr="00832E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E0E" w:rsidRPr="0015654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156546" w:rsidRPr="0015654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Approved 5 September </w:t>
                            </w:r>
                            <w:r w:rsidRPr="0015654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A101AD" w:rsidRPr="0015654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024</w:t>
                            </w:r>
                            <w:r w:rsidR="00832E0E" w:rsidRPr="0015654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633D392" w14:textId="545CA7C7" w:rsidR="00832E0E" w:rsidRPr="00CE0F51" w:rsidRDefault="00832E0E" w:rsidP="003A578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F2100D" w14:paraId="27E2E82F" w14:textId="031CD763" w:rsidTr="00D76BD5">
                        <w:tc>
                          <w:tcPr>
                            <w:tcW w:w="5000" w:type="pct"/>
                            <w:gridSpan w:val="2"/>
                            <w:shd w:val="clear" w:color="auto" w:fill="auto"/>
                          </w:tcPr>
                          <w:p w14:paraId="56FBE5E4" w14:textId="08CCD3E3" w:rsidR="000160C2" w:rsidRPr="00273306" w:rsidRDefault="000160C2" w:rsidP="004B12C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 xml:space="preserve">Committee Members:  </w:t>
                            </w:r>
                            <w:r w:rsidRPr="00684026">
                              <w:t>Seamus Dawson (Chair);</w:t>
                            </w:r>
                            <w:r>
                              <w:t xml:space="preserve"> Yvonne Murphy; Lauren McAteer</w:t>
                            </w:r>
                            <w:r w:rsidR="00804F5E">
                              <w:t xml:space="preserve">; </w:t>
                            </w:r>
                            <w:r>
                              <w:t xml:space="preserve">Michael McKernan; Tom Hesketh;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Janis Lead</w:t>
                            </w:r>
                            <w:r w:rsidR="00410BD0">
                              <w:rPr>
                                <w:rFonts w:asciiTheme="minorHAnsi" w:hAnsiTheme="minorHAnsi" w:cstheme="minorHAnsi"/>
                              </w:rPr>
                              <w:t>en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; Owen McCaughey</w:t>
                            </w:r>
                            <w:r w:rsidR="00F169A2">
                              <w:rPr>
                                <w:rFonts w:asciiTheme="minorHAnsi" w:hAnsiTheme="minorHAnsi" w:cstheme="minorHAnsi"/>
                              </w:rPr>
                              <w:t>;</w:t>
                            </w:r>
                            <w:r w:rsidR="00410BD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10BD0">
                              <w:t>Michael Mearns</w:t>
                            </w:r>
                            <w:r w:rsidR="00F169A2">
                              <w:t>;</w:t>
                            </w:r>
                            <w:r w:rsidR="00410BD0"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Louise Warde Hunter, Principal &amp; Chief Executive</w:t>
                            </w:r>
                          </w:p>
                          <w:p w14:paraId="18AF3273" w14:textId="77777777" w:rsidR="000160C2" w:rsidRDefault="000160C2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142F185B" w14:textId="1C52A331" w:rsidR="000160C2" w:rsidRPr="00805171" w:rsidRDefault="000160C2" w:rsidP="0097460B">
                            <w:r w:rsidRPr="00CE0F51">
                              <w:rPr>
                                <w:b/>
                              </w:rPr>
                              <w:t xml:space="preserve">Management: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568C0">
                              <w:rPr>
                                <w:bCs/>
                              </w:rPr>
                              <w:t>Aidan Sloan</w:t>
                            </w:r>
                            <w:r>
                              <w:rPr>
                                <w:bCs/>
                              </w:rPr>
                              <w:t>e, Chief Operating Officer (COO); Damian Duffy, Deputy Chief Executive (Curriculum and Partnerships)</w:t>
                            </w:r>
                            <w:r w:rsidR="00551DEB">
                              <w:rPr>
                                <w:bCs/>
                              </w:rPr>
                              <w:t xml:space="preserve"> (DCE</w:t>
                            </w:r>
                            <w:proofErr w:type="gramStart"/>
                            <w:r w:rsidR="00551DEB">
                              <w:rPr>
                                <w:bCs/>
                              </w:rPr>
                              <w:t>)</w:t>
                            </w:r>
                            <w:r>
                              <w:rPr>
                                <w:bCs/>
                              </w:rPr>
                              <w:t xml:space="preserve">;  </w:t>
                            </w:r>
                            <w:r w:rsidRPr="00665BFB">
                              <w:t>Laura</w:t>
                            </w:r>
                            <w:proofErr w:type="gramEnd"/>
                            <w:r w:rsidRPr="00665BFB">
                              <w:t xml:space="preserve"> Allen, Head of Finance (HF);</w:t>
                            </w:r>
                            <w:r>
                              <w:t xml:space="preserve"> Kristian Kinnaird Head of IT (HIT); Siobhan Lyons, Head of CEDSI (HCEDSI); </w:t>
                            </w:r>
                            <w:r w:rsidR="00E70A7C">
                              <w:t xml:space="preserve"> Peter Kane, </w:t>
                            </w:r>
                            <w:r>
                              <w:t>Head of Estate and Facilities Management (HEFM)</w:t>
                            </w:r>
                          </w:p>
                          <w:p w14:paraId="6DC625D6" w14:textId="77777777" w:rsidR="000160C2" w:rsidRDefault="000160C2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65A66738" w14:textId="68DE7616" w:rsidR="000160C2" w:rsidRPr="00F2100D" w:rsidRDefault="00537507" w:rsidP="004B12C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Chief Executive’s Support Manager for </w:t>
                            </w:r>
                            <w:r w:rsidR="000160C2" w:rsidRPr="00CE0F51">
                              <w:rPr>
                                <w:b/>
                              </w:rPr>
                              <w:t xml:space="preserve">Clerk to the Governing Body: </w:t>
                            </w:r>
                            <w:r w:rsidR="00F2100D">
                              <w:rPr>
                                <w:bCs/>
                              </w:rPr>
                              <w:t>Andrea Browne</w:t>
                            </w:r>
                          </w:p>
                          <w:p w14:paraId="047FB00F" w14:textId="77777777" w:rsidR="000160C2" w:rsidRPr="00CE0F51" w:rsidRDefault="000160C2" w:rsidP="004B12C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76BD5" w14:paraId="6A96806E" w14:textId="7CED658E" w:rsidTr="00D76BD5">
                        <w:trPr>
                          <w:trHeight w:val="495"/>
                        </w:trPr>
                        <w:tc>
                          <w:tcPr>
                            <w:tcW w:w="576" w:type="pct"/>
                            <w:vMerge w:val="restart"/>
                          </w:tcPr>
                          <w:p w14:paraId="46F22CFD" w14:textId="3E9B755F" w:rsidR="00D76BD5" w:rsidRPr="00DA2BE3" w:rsidRDefault="00D76BD5" w:rsidP="00773553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RC47 23/24</w:t>
                            </w:r>
                            <w:r w:rsidRPr="00DA2BE3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24" w:type="pct"/>
                            <w:vMerge w:val="restart"/>
                          </w:tcPr>
                          <w:p w14:paraId="53B4BE8D" w14:textId="082EEBA0" w:rsidR="00D76BD5" w:rsidRPr="00CE0F51" w:rsidRDefault="00D76BD5" w:rsidP="00773553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Quorum, Apologies, Welcome,</w:t>
                            </w:r>
                            <w:r w:rsidRPr="00CE0F51">
                              <w:rPr>
                                <w:rFonts w:cs="Arial"/>
                                <w:b/>
                              </w:rPr>
                              <w:t xml:space="preserve"> Conflicts of Interest, Notice of AOB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and Leadership Culture</w:t>
                            </w:r>
                          </w:p>
                          <w:p w14:paraId="57FEFC7D" w14:textId="6089293E" w:rsidR="00D76BD5" w:rsidRPr="00CE0F51" w:rsidRDefault="00D76BD5" w:rsidP="00773553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32B68A9" w14:textId="721F2C9E" w:rsidR="00D76BD5" w:rsidRPr="00B1399F" w:rsidRDefault="00D76BD5" w:rsidP="00773553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:  The meeting </w:t>
                            </w:r>
                            <w:r>
                              <w:rPr>
                                <w:rFonts w:cs="Arial"/>
                              </w:rPr>
                              <w:t>was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quorate under the terms of </w:t>
                            </w:r>
                            <w:r>
                              <w:rPr>
                                <w:rFonts w:cs="Arial"/>
                              </w:rPr>
                              <w:t>Section 6.2 of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Terms of R</w:t>
                            </w:r>
                            <w:r>
                              <w:rPr>
                                <w:rFonts w:cs="Arial"/>
                              </w:rPr>
                              <w:t>eferenc</w:t>
                            </w:r>
                            <w:r w:rsidRPr="00B41647">
                              <w:rPr>
                                <w:rFonts w:cs="Arial"/>
                                <w:color w:val="000000" w:themeColor="text1"/>
                              </w:rPr>
                              <w:t xml:space="preserve">e </w:t>
                            </w:r>
                            <w:r w:rsidRPr="00B41647">
                              <w:rPr>
                                <w:b/>
                                <w:color w:val="000000" w:themeColor="text1"/>
                              </w:rPr>
                              <w:t>V3</w:t>
                            </w:r>
                            <w:r w:rsidRPr="00B41647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of the Resources Committee approved by the Governing Body at </w:t>
                            </w:r>
                            <w:r>
                              <w:rPr>
                                <w:b/>
                              </w:rPr>
                              <w:t xml:space="preserve">GB81a 21/22 22 June 2022 </w:t>
                            </w:r>
                            <w:r>
                              <w:rPr>
                                <w:bCs/>
                              </w:rPr>
                              <w:t>(</w:t>
                            </w:r>
                            <w:r>
                              <w:rPr>
                                <w:rFonts w:cs="Arial"/>
                              </w:rPr>
                              <w:t xml:space="preserve">2 </w:t>
                            </w:r>
                            <w:r w:rsidRPr="00CE0F51">
                              <w:rPr>
                                <w:rFonts w:cs="Arial"/>
                              </w:rPr>
                              <w:t>Governors).</w:t>
                            </w:r>
                          </w:p>
                          <w:p w14:paraId="3DBF12B0" w14:textId="77777777" w:rsidR="00D76BD5" w:rsidRDefault="00D76BD5" w:rsidP="00773553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C293C5F" w14:textId="5CFD563F" w:rsidR="00D76BD5" w:rsidRPr="00833687" w:rsidRDefault="00D76BD5" w:rsidP="00773553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Apologies: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>Received from Louise Warde Hunter</w:t>
                            </w:r>
                            <w:r w:rsidR="00EC0CBE">
                              <w:rPr>
                                <w:rFonts w:cs="Arial"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>Laura Allen</w:t>
                            </w:r>
                            <w:r w:rsidR="00EC0CBE">
                              <w:rPr>
                                <w:rFonts w:cs="Arial"/>
                                <w:bCs/>
                              </w:rPr>
                              <w:t>, Owen McCaughey.</w:t>
                            </w:r>
                          </w:p>
                          <w:p w14:paraId="61EB1EF4" w14:textId="140F653D" w:rsidR="00D76BD5" w:rsidRDefault="00D76BD5" w:rsidP="0077355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279E5CA" w14:textId="49804BE2" w:rsidR="00D76BD5" w:rsidRPr="00833687" w:rsidRDefault="00D76BD5" w:rsidP="00773553">
                            <w:pPr>
                              <w:rPr>
                                <w:rFonts w:cs="Arial"/>
                              </w:rPr>
                            </w:pPr>
                            <w:r w:rsidRPr="004A6462">
                              <w:rPr>
                                <w:rFonts w:cs="Arial"/>
                                <w:b/>
                              </w:rPr>
                              <w:t>Welcome:</w:t>
                            </w:r>
                            <w:r>
                              <w:rPr>
                                <w:rFonts w:cs="Arial"/>
                              </w:rPr>
                              <w:t xml:space="preserve">  Michael Mearns to his first Resources Committee meeting </w:t>
                            </w:r>
                          </w:p>
                          <w:p w14:paraId="4FD873A0" w14:textId="6765A85D" w:rsidR="00D76BD5" w:rsidRDefault="00D76BD5" w:rsidP="0077355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C655F99" w14:textId="25E9CB25" w:rsidR="00D76BD5" w:rsidRPr="00B1399F" w:rsidRDefault="00D76BD5" w:rsidP="00773553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: </w:t>
                            </w:r>
                            <w:r>
                              <w:rPr>
                                <w:rFonts w:cs="Calibri"/>
                              </w:rPr>
                              <w:t>No</w:t>
                            </w:r>
                            <w:r w:rsidR="00551DEB">
                              <w:rPr>
                                <w:rFonts w:cs="Calibri"/>
                              </w:rPr>
                              <w:t xml:space="preserve"> reported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D45AD">
                              <w:rPr>
                                <w:rFonts w:cs="Calibri"/>
                                <w:b/>
                              </w:rPr>
                              <w:t xml:space="preserve">perceived, </w:t>
                            </w:r>
                            <w:proofErr w:type="gramStart"/>
                            <w:r w:rsidRPr="00DD45AD">
                              <w:rPr>
                                <w:rFonts w:cs="Calibri"/>
                                <w:b/>
                              </w:rPr>
                              <w:t>potential</w:t>
                            </w:r>
                            <w:proofErr w:type="gramEnd"/>
                            <w:r w:rsidRPr="00DD45AD">
                              <w:rPr>
                                <w:rFonts w:cs="Calibri"/>
                                <w:b/>
                              </w:rPr>
                              <w:t xml:space="preserve"> or actual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CE0F51">
                              <w:rPr>
                                <w:rFonts w:cs="Calibri"/>
                              </w:rPr>
                              <w:t>conflicts of int</w:t>
                            </w:r>
                            <w:r w:rsidR="005515CA">
                              <w:rPr>
                                <w:rFonts w:cs="Calibri"/>
                              </w:rPr>
                              <w:t xml:space="preserve">erest </w:t>
                            </w:r>
                            <w:r w:rsidRPr="00CE0F51">
                              <w:rPr>
                                <w:rFonts w:cs="Calibri"/>
                              </w:rPr>
                              <w:t>under the terms of</w:t>
                            </w:r>
                            <w:r>
                              <w:rPr>
                                <w:rFonts w:cs="Calibri"/>
                              </w:rPr>
                              <w:t xml:space="preserve"> Section 8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.1 of the Belfast Metropolitan College Governing Body Standing Orders </w:t>
                            </w:r>
                            <w:r w:rsidRPr="009147C8">
                              <w:rPr>
                                <w:rFonts w:cs="Calibri"/>
                              </w:rPr>
                              <w:t xml:space="preserve">V5 approved </w:t>
                            </w:r>
                            <w:r>
                              <w:rPr>
                                <w:rFonts w:cs="Calibri"/>
                              </w:rPr>
                              <w:t xml:space="preserve">by the Governing Body at </w:t>
                            </w:r>
                            <w:r>
                              <w:rPr>
                                <w:b/>
                              </w:rPr>
                              <w:t>GB81a 21/22 22 June 2022</w:t>
                            </w:r>
                            <w:r w:rsidRPr="00CE0F51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6DF55962" w14:textId="77777777" w:rsidR="00D76BD5" w:rsidRPr="00CE0F51" w:rsidRDefault="00D76BD5" w:rsidP="0077355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872FF68" w14:textId="6BF14C1C" w:rsidR="00D76BD5" w:rsidRPr="00CE0F51" w:rsidRDefault="00D76BD5" w:rsidP="00773553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No Items of AOB</w:t>
                            </w:r>
                            <w:r w:rsidR="00155440">
                              <w:rPr>
                                <w:rFonts w:cs="Arial"/>
                              </w:rPr>
                              <w:t xml:space="preserve"> raised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58437B90" w14:textId="77777777" w:rsidR="00D76BD5" w:rsidRDefault="00D76BD5" w:rsidP="00773553">
                            <w:pPr>
                              <w:rPr>
                                <w:b/>
                              </w:rPr>
                            </w:pPr>
                          </w:p>
                          <w:p w14:paraId="3FA8A207" w14:textId="04E97A09" w:rsidR="00D76BD5" w:rsidRDefault="00D76BD5" w:rsidP="00773553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 </w:t>
                            </w:r>
                            <w:r w:rsidRPr="0062210A">
                              <w:rPr>
                                <w:b/>
                                <w:bCs/>
                              </w:rPr>
                              <w:t>n</w:t>
                            </w:r>
                            <w:r w:rsidRPr="0036297E">
                              <w:rPr>
                                <w:b/>
                                <w:bCs/>
                              </w:rPr>
                              <w:t>ote</w:t>
                            </w: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t xml:space="preserve"> Governor commitment to Governing Body Leadership Culture Watchwords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(</w:t>
                            </w:r>
                            <w:r w:rsidRPr="00321F6E">
                              <w:rPr>
                                <w:rFonts w:cstheme="minorHAnsi"/>
                                <w:b/>
                              </w:rPr>
                              <w:t>GB02d 22/23 21 September 2022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435CCDDF" w14:textId="77777777" w:rsidR="00D76BD5" w:rsidRDefault="00D76BD5" w:rsidP="00773553"/>
                          <w:p w14:paraId="5A52A9FE" w14:textId="15231705" w:rsidR="00D76BD5" w:rsidRPr="00493229" w:rsidRDefault="00D76BD5" w:rsidP="00773553">
                            <w:pPr>
                              <w:contextualSpacing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ab/>
                            </w:r>
                            <w:r w:rsidRPr="00033B0C">
                              <w:rPr>
                                <w:rFonts w:cstheme="minorHAnsi"/>
                                <w:bCs/>
                              </w:rPr>
                              <w:t xml:space="preserve">Courageous / Creative / Candour / </w:t>
                            </w:r>
                            <w:proofErr w:type="gramStart"/>
                            <w:r w:rsidRPr="00033B0C">
                              <w:rPr>
                                <w:rFonts w:cstheme="minorHAnsi"/>
                                <w:bCs/>
                              </w:rPr>
                              <w:t>Challenge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</w:rPr>
                              <w:t>(</w:t>
                            </w:r>
                            <w:proofErr w:type="gramEnd"/>
                            <w:r w:rsidRPr="00307FD3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>RC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>59</w:t>
                            </w:r>
                            <w:r w:rsidRPr="00307FD3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 xml:space="preserve"> 22/23</w:t>
                            </w:r>
                            <w:r w:rsidRPr="00307FD3">
                              <w:rPr>
                                <w:rFonts w:eastAsia="Times New Roman"/>
                                <w:color w:val="188DBB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>below refers)</w:t>
                            </w:r>
                          </w:p>
                          <w:p w14:paraId="6EBD2DE4" w14:textId="303F0F47" w:rsidR="00D76BD5" w:rsidRPr="00CE0F51" w:rsidRDefault="00D76BD5" w:rsidP="0077355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76BD5" w14:paraId="7EA2BEB9" w14:textId="77777777" w:rsidTr="00D76BD5">
                        <w:trPr>
                          <w:trHeight w:val="4860"/>
                        </w:trPr>
                        <w:tc>
                          <w:tcPr>
                            <w:tcW w:w="576" w:type="pct"/>
                            <w:vMerge/>
                          </w:tcPr>
                          <w:p w14:paraId="558FDE4C" w14:textId="77777777" w:rsidR="00D76BD5" w:rsidRDefault="00D76BD5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</w:p>
                        </w:tc>
                        <w:tc>
                          <w:tcPr>
                            <w:tcW w:w="4424" w:type="pct"/>
                            <w:vMerge/>
                          </w:tcPr>
                          <w:p w14:paraId="0B4FE7F3" w14:textId="77777777" w:rsidR="00D76BD5" w:rsidRDefault="00D76BD5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65212B4C" w14:textId="77777777" w:rsidR="00D17E73" w:rsidRDefault="00D17E73" w:rsidP="00D17E73"/>
                    <w:p w14:paraId="4486F566" w14:textId="77777777" w:rsidR="003A5780" w:rsidRDefault="003A5780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4"/>
        <w:gridCol w:w="8712"/>
      </w:tblGrid>
      <w:tr w:rsidR="00D76BD5" w14:paraId="3874E293" w14:textId="77777777" w:rsidTr="009E6B4E">
        <w:trPr>
          <w:tblHeader/>
        </w:trPr>
        <w:tc>
          <w:tcPr>
            <w:tcW w:w="5000" w:type="pct"/>
            <w:gridSpan w:val="2"/>
            <w:shd w:val="clear" w:color="auto" w:fill="36B4E5" w:themeFill="accent1"/>
          </w:tcPr>
          <w:bookmarkEnd w:id="0"/>
          <w:p w14:paraId="10EE6387" w14:textId="4D9E2074" w:rsidR="00D76BD5" w:rsidRPr="00C74834" w:rsidRDefault="00A77937" w:rsidP="00C74834">
            <w:pPr>
              <w:rPr>
                <w:b/>
              </w:rPr>
            </w:pPr>
            <w:r>
              <w:rPr>
                <w:b/>
              </w:rPr>
              <w:lastRenderedPageBreak/>
              <w:t>Minutes</w:t>
            </w:r>
          </w:p>
        </w:tc>
      </w:tr>
      <w:tr w:rsidR="00D76BD5" w14:paraId="29E60599" w14:textId="77777777" w:rsidTr="009E6B4E">
        <w:tc>
          <w:tcPr>
            <w:tcW w:w="526" w:type="pct"/>
          </w:tcPr>
          <w:p w14:paraId="16302DBB" w14:textId="403494E4" w:rsidR="00D76BD5" w:rsidRDefault="00D76BD5" w:rsidP="003D520B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RC48</w:t>
            </w:r>
          </w:p>
          <w:p w14:paraId="4691CE1F" w14:textId="194C10E0" w:rsidR="00D76BD5" w:rsidRDefault="00D76BD5" w:rsidP="003D520B">
            <w:r>
              <w:rPr>
                <w:b/>
                <w:color w:val="36B4E5" w:themeColor="accent1"/>
              </w:rPr>
              <w:t>23/24</w:t>
            </w:r>
          </w:p>
        </w:tc>
        <w:tc>
          <w:tcPr>
            <w:tcW w:w="4474" w:type="pct"/>
          </w:tcPr>
          <w:p w14:paraId="662E0A92" w14:textId="06ED105D" w:rsidR="00D76BD5" w:rsidRPr="004C1923" w:rsidRDefault="00D76BD5" w:rsidP="003D520B">
            <w:pPr>
              <w:rPr>
                <w:b/>
                <w:color w:val="FFC000"/>
              </w:rPr>
            </w:pPr>
            <w:r w:rsidRPr="00CE0F51">
              <w:rPr>
                <w:b/>
              </w:rPr>
              <w:t>Minutes o</w:t>
            </w:r>
            <w:r>
              <w:rPr>
                <w:b/>
              </w:rPr>
              <w:t xml:space="preserve">f the meeting held on 6 March 2024 </w:t>
            </w:r>
            <w:r w:rsidRPr="004C1923">
              <w:rPr>
                <w:b/>
                <w:color w:val="FFC000"/>
              </w:rPr>
              <w:t>- Draft (Proposed Final)</w:t>
            </w:r>
          </w:p>
          <w:p w14:paraId="0F587D66" w14:textId="77777777" w:rsidR="00D76BD5" w:rsidRDefault="00D76BD5" w:rsidP="003D520B">
            <w:pPr>
              <w:rPr>
                <w:b/>
              </w:rPr>
            </w:pPr>
          </w:p>
          <w:p w14:paraId="50CF7D48" w14:textId="6306C6EE" w:rsidR="00D76BD5" w:rsidRPr="00DA6BA9" w:rsidRDefault="00D76BD5" w:rsidP="003D520B">
            <w:r>
              <w:t xml:space="preserve">The </w:t>
            </w:r>
            <w:r w:rsidRPr="004808E0">
              <w:t xml:space="preserve">Committee </w:t>
            </w:r>
            <w:r w:rsidRPr="004808E0">
              <w:rPr>
                <w:b/>
                <w:u w:val="single"/>
              </w:rPr>
              <w:t>approve</w:t>
            </w:r>
            <w:r>
              <w:rPr>
                <w:b/>
                <w:u w:val="single"/>
              </w:rPr>
              <w:t>d</w:t>
            </w:r>
            <w:r w:rsidRPr="00DA6BA9">
              <w:t xml:space="preserve"> the </w:t>
            </w:r>
            <w:r w:rsidRPr="000D52BD">
              <w:rPr>
                <w:b/>
                <w:bCs/>
                <w:color w:val="FFC000"/>
              </w:rPr>
              <w:t>DRAFT (Proposed Final)</w:t>
            </w:r>
            <w:r w:rsidRPr="000D52BD">
              <w:rPr>
                <w:color w:val="FFC000"/>
              </w:rPr>
              <w:t xml:space="preserve"> </w:t>
            </w:r>
            <w:r w:rsidRPr="00DA6BA9">
              <w:t>minutes</w:t>
            </w:r>
            <w:r>
              <w:t xml:space="preserve"> of the previous meeting.</w:t>
            </w:r>
          </w:p>
          <w:p w14:paraId="629D4CB5" w14:textId="77777777" w:rsidR="00D76BD5" w:rsidRDefault="00D76BD5" w:rsidP="003D520B"/>
        </w:tc>
      </w:tr>
      <w:tr w:rsidR="00D76BD5" w14:paraId="21384005" w14:textId="77777777" w:rsidTr="009E6B4E">
        <w:tc>
          <w:tcPr>
            <w:tcW w:w="526" w:type="pct"/>
          </w:tcPr>
          <w:p w14:paraId="7871908D" w14:textId="445A29ED" w:rsidR="00D76BD5" w:rsidRDefault="00D76BD5" w:rsidP="003D520B">
            <w:r>
              <w:rPr>
                <w:b/>
                <w:color w:val="36B4E5" w:themeColor="accent1"/>
              </w:rPr>
              <w:t>RC49 23/24</w:t>
            </w:r>
          </w:p>
        </w:tc>
        <w:tc>
          <w:tcPr>
            <w:tcW w:w="4474" w:type="pct"/>
          </w:tcPr>
          <w:p w14:paraId="43061B15" w14:textId="145BBB23" w:rsidR="00D76BD5" w:rsidRPr="00CE0F51" w:rsidRDefault="00D76BD5" w:rsidP="003D520B">
            <w:pPr>
              <w:rPr>
                <w:b/>
              </w:rPr>
            </w:pPr>
            <w:r w:rsidRPr="00CE0F51">
              <w:rPr>
                <w:b/>
              </w:rPr>
              <w:t>Matters Arising from the m</w:t>
            </w:r>
            <w:r>
              <w:rPr>
                <w:b/>
              </w:rPr>
              <w:t>inutes of the meeting held on 6 March 2024</w:t>
            </w:r>
          </w:p>
          <w:p w14:paraId="5C49CBFE" w14:textId="77777777" w:rsidR="00D76BD5" w:rsidRPr="00CE0F51" w:rsidRDefault="00D76BD5" w:rsidP="003D520B">
            <w:pPr>
              <w:rPr>
                <w:b/>
              </w:rPr>
            </w:pPr>
          </w:p>
          <w:p w14:paraId="1623C789" w14:textId="77777777" w:rsidR="00D76BD5" w:rsidRPr="00605434" w:rsidRDefault="00D76BD5" w:rsidP="003D520B">
            <w:r>
              <w:t>All matters arising are on the agenda of this governance meeting.</w:t>
            </w:r>
          </w:p>
          <w:p w14:paraId="37C3667C" w14:textId="77777777" w:rsidR="00D76BD5" w:rsidRDefault="00D76BD5" w:rsidP="003D520B"/>
        </w:tc>
      </w:tr>
      <w:tr w:rsidR="00D76BD5" w14:paraId="4CC25132" w14:textId="77777777" w:rsidTr="009E6B4E">
        <w:tc>
          <w:tcPr>
            <w:tcW w:w="526" w:type="pct"/>
          </w:tcPr>
          <w:p w14:paraId="05FCB1F3" w14:textId="2AA89C35" w:rsidR="00D76BD5" w:rsidRDefault="00D76BD5" w:rsidP="003D520B">
            <w:r>
              <w:rPr>
                <w:b/>
                <w:color w:val="36B4E5" w:themeColor="accent1"/>
              </w:rPr>
              <w:t>RC50 23/24</w:t>
            </w:r>
          </w:p>
        </w:tc>
        <w:tc>
          <w:tcPr>
            <w:tcW w:w="4474" w:type="pct"/>
          </w:tcPr>
          <w:p w14:paraId="75AA9AB3" w14:textId="77777777" w:rsidR="00D76BD5" w:rsidRPr="005D2B35" w:rsidRDefault="00D76BD5" w:rsidP="003D520B">
            <w:pPr>
              <w:rPr>
                <w:b/>
              </w:rPr>
            </w:pPr>
            <w:r w:rsidRPr="005D2B35">
              <w:rPr>
                <w:b/>
              </w:rPr>
              <w:t>Governance Guidance and Information</w:t>
            </w:r>
          </w:p>
          <w:p w14:paraId="4E174C53" w14:textId="77777777" w:rsidR="00D76BD5" w:rsidRDefault="00D76BD5" w:rsidP="00F2100D">
            <w:pP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</w:p>
          <w:p w14:paraId="6AA4FE32" w14:textId="4F8118C6" w:rsidR="00D76BD5" w:rsidRDefault="00D76BD5" w:rsidP="00F2100D">
            <w:pP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None reported at this meeting.</w:t>
            </w:r>
          </w:p>
          <w:p w14:paraId="4A43583F" w14:textId="366B5136" w:rsidR="00D76BD5" w:rsidRDefault="00D76BD5" w:rsidP="00F2100D"/>
        </w:tc>
      </w:tr>
      <w:tr w:rsidR="00D76BD5" w14:paraId="52C126A2" w14:textId="77777777" w:rsidTr="009E6B4E">
        <w:tc>
          <w:tcPr>
            <w:tcW w:w="526" w:type="pct"/>
          </w:tcPr>
          <w:p w14:paraId="7D41D0C7" w14:textId="0E3503B3" w:rsidR="00D76BD5" w:rsidRDefault="00D76BD5" w:rsidP="003D520B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RC51 23/24</w:t>
            </w:r>
          </w:p>
          <w:p w14:paraId="55B1D7A9" w14:textId="77777777" w:rsidR="00D76BD5" w:rsidRDefault="00D76BD5" w:rsidP="003D520B"/>
        </w:tc>
        <w:tc>
          <w:tcPr>
            <w:tcW w:w="4474" w:type="pct"/>
          </w:tcPr>
          <w:p w14:paraId="74DF5680" w14:textId="77777777" w:rsidR="00D76BD5" w:rsidRPr="000C2CDF" w:rsidRDefault="00D76BD5" w:rsidP="003D520B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</w:t>
            </w:r>
            <w:r w:rsidRPr="00155440">
              <w:rPr>
                <w:b/>
              </w:rPr>
              <w:t xml:space="preserve">Orders V5 22 June </w:t>
            </w:r>
            <w:r>
              <w:rPr>
                <w:b/>
              </w:rPr>
              <w:t>2022</w:t>
            </w:r>
          </w:p>
          <w:p w14:paraId="37065A1F" w14:textId="77777777" w:rsidR="00D76BD5" w:rsidRDefault="00D76BD5" w:rsidP="003D520B">
            <w:pPr>
              <w:rPr>
                <w:b/>
              </w:rPr>
            </w:pPr>
          </w:p>
          <w:p w14:paraId="678F3AA6" w14:textId="77777777" w:rsidR="00D76BD5" w:rsidRDefault="00D76BD5" w:rsidP="0062210A">
            <w:pP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None reported at this meeting.</w:t>
            </w:r>
          </w:p>
          <w:p w14:paraId="22AB48D6" w14:textId="77777777" w:rsidR="00D76BD5" w:rsidRDefault="00D76BD5" w:rsidP="003D520B"/>
        </w:tc>
      </w:tr>
      <w:tr w:rsidR="00D76BD5" w14:paraId="2BAFA77F" w14:textId="77777777" w:rsidTr="009E6B4E">
        <w:tc>
          <w:tcPr>
            <w:tcW w:w="526" w:type="pct"/>
          </w:tcPr>
          <w:p w14:paraId="19E5897D" w14:textId="230379F6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RC52</w:t>
            </w:r>
          </w:p>
          <w:p w14:paraId="60F34E90" w14:textId="6E3C49BB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23/24</w:t>
            </w:r>
            <w:r w:rsidRPr="00DA2BE3">
              <w:rPr>
                <w:b/>
                <w:color w:val="36B4E5" w:themeColor="accent1"/>
              </w:rPr>
              <w:t xml:space="preserve">  </w:t>
            </w:r>
          </w:p>
          <w:p w14:paraId="7119D648" w14:textId="77777777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56F3FBCD" w14:textId="77777777" w:rsidR="00D76BD5" w:rsidRDefault="00D76BD5" w:rsidP="003D520B"/>
        </w:tc>
        <w:tc>
          <w:tcPr>
            <w:tcW w:w="4474" w:type="pct"/>
          </w:tcPr>
          <w:p w14:paraId="12391531" w14:textId="77777777" w:rsidR="00D76BD5" w:rsidRDefault="00D76BD5" w:rsidP="003D520B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692DC785" w14:textId="77777777" w:rsidR="00D76BD5" w:rsidRDefault="00D76BD5" w:rsidP="00DB7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4C1F85" w14:textId="1BE2BB71" w:rsidR="00D76BD5" w:rsidRDefault="00D76BD5" w:rsidP="0015544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No new items</w:t>
            </w:r>
            <w:r w:rsidR="00155440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 xml:space="preserve"> raised.</w:t>
            </w:r>
          </w:p>
          <w:p w14:paraId="690FD757" w14:textId="77777777" w:rsidR="00D76BD5" w:rsidRDefault="00D76BD5" w:rsidP="003D520B"/>
        </w:tc>
      </w:tr>
      <w:tr w:rsidR="00D76BD5" w14:paraId="6510C7F4" w14:textId="77777777" w:rsidTr="009E6B4E">
        <w:tc>
          <w:tcPr>
            <w:tcW w:w="526" w:type="pct"/>
          </w:tcPr>
          <w:p w14:paraId="2D00C879" w14:textId="77777777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RC53</w:t>
            </w:r>
          </w:p>
          <w:p w14:paraId="073E7E8C" w14:textId="4C59D302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23/24</w:t>
            </w:r>
          </w:p>
          <w:p w14:paraId="0CB98290" w14:textId="4297FB66" w:rsidR="00D76BD5" w:rsidRDefault="00D76BD5" w:rsidP="003D520B"/>
        </w:tc>
        <w:tc>
          <w:tcPr>
            <w:tcW w:w="4474" w:type="pct"/>
          </w:tcPr>
          <w:p w14:paraId="000ACE39" w14:textId="6B3BC604" w:rsidR="00D76BD5" w:rsidRDefault="00D76BD5" w:rsidP="003D520B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Financial Report and Budget Reforecast Report Q3 2023/24</w:t>
            </w:r>
          </w:p>
          <w:p w14:paraId="3996026D" w14:textId="77777777" w:rsidR="00D76BD5" w:rsidRDefault="00D76BD5" w:rsidP="003D520B">
            <w:pPr>
              <w:tabs>
                <w:tab w:val="right" w:pos="9026"/>
              </w:tabs>
              <w:rPr>
                <w:b/>
              </w:rPr>
            </w:pPr>
          </w:p>
          <w:p w14:paraId="33CCC5F9" w14:textId="1CC7E29B" w:rsidR="00D76BD5" w:rsidRPr="00297A2A" w:rsidRDefault="00D76BD5" w:rsidP="00297A2A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rFonts w:asciiTheme="minorHAnsi" w:hAnsiTheme="minorHAnsi" w:cstheme="minorHAnsi"/>
                <w:bCs/>
              </w:rPr>
            </w:pPr>
            <w:r w:rsidRPr="00297A2A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Whole College Position Q3 Reforecast to 31 July 2024</w:t>
            </w:r>
          </w:p>
          <w:p w14:paraId="7BA9A6AF" w14:textId="77777777" w:rsidR="00D76BD5" w:rsidRPr="00297A2A" w:rsidRDefault="00D76BD5" w:rsidP="00297A2A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rStyle w:val="cf01"/>
                <w:rFonts w:asciiTheme="minorHAnsi" w:hAnsiTheme="minorHAnsi" w:cstheme="minorHAnsi"/>
                <w:bCs/>
                <w:sz w:val="22"/>
                <w:szCs w:val="22"/>
              </w:rPr>
            </w:pPr>
            <w:r w:rsidRPr="00297A2A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Final Budget allocation 2023/24</w:t>
            </w:r>
          </w:p>
          <w:p w14:paraId="063FF332" w14:textId="4DDEE951" w:rsidR="00D76BD5" w:rsidRPr="00297A2A" w:rsidRDefault="00D76BD5" w:rsidP="00297A2A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rFonts w:asciiTheme="minorHAnsi" w:hAnsiTheme="minorHAnsi" w:cstheme="minorHAnsi"/>
                <w:bCs/>
              </w:rPr>
            </w:pPr>
            <w:r w:rsidRPr="00297A2A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Budget planning 2024/25</w:t>
            </w:r>
          </w:p>
          <w:p w14:paraId="0ED0D07B" w14:textId="764B06C6" w:rsidR="00D76BD5" w:rsidRDefault="00D76BD5" w:rsidP="003D520B">
            <w:pPr>
              <w:tabs>
                <w:tab w:val="right" w:pos="9026"/>
              </w:tabs>
              <w:rPr>
                <w:b/>
              </w:rPr>
            </w:pPr>
          </w:p>
          <w:p w14:paraId="7E606BDA" w14:textId="56BA908F" w:rsidR="00052AC3" w:rsidRDefault="00D76BD5" w:rsidP="00052AC3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COO gave an update on the Q3 budget vs Reforecast.</w:t>
            </w:r>
            <w:r w:rsidR="00155440">
              <w:rPr>
                <w:bCs/>
              </w:rPr>
              <w:t xml:space="preserve">  </w:t>
            </w:r>
            <w:r w:rsidR="00052AC3">
              <w:rPr>
                <w:bCs/>
              </w:rPr>
              <w:t xml:space="preserve">All in line with planning and </w:t>
            </w:r>
            <w:r w:rsidR="00175AF8">
              <w:rPr>
                <w:bCs/>
              </w:rPr>
              <w:t>not expecting</w:t>
            </w:r>
            <w:r w:rsidR="00052AC3">
              <w:rPr>
                <w:bCs/>
              </w:rPr>
              <w:t xml:space="preserve"> any significant changes between Q3 and Q4</w:t>
            </w:r>
            <w:r w:rsidR="00175AF8">
              <w:rPr>
                <w:bCs/>
              </w:rPr>
              <w:t>.</w:t>
            </w:r>
          </w:p>
          <w:p w14:paraId="1D6A50B3" w14:textId="541678A4" w:rsidR="00D76BD5" w:rsidRDefault="00D76BD5" w:rsidP="006E6B3D">
            <w:pPr>
              <w:tabs>
                <w:tab w:val="right" w:pos="9026"/>
              </w:tabs>
              <w:rPr>
                <w:bCs/>
              </w:rPr>
            </w:pPr>
          </w:p>
          <w:p w14:paraId="1B6A2A3A" w14:textId="417B3AC2" w:rsidR="00D76BD5" w:rsidRDefault="00155440" w:rsidP="006E6B3D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F</w:t>
            </w:r>
            <w:r w:rsidR="00D76BD5">
              <w:rPr>
                <w:bCs/>
              </w:rPr>
              <w:t xml:space="preserve">ormal notification </w:t>
            </w:r>
            <w:r>
              <w:rPr>
                <w:bCs/>
              </w:rPr>
              <w:t xml:space="preserve">has been received </w:t>
            </w:r>
            <w:r w:rsidR="00D76BD5">
              <w:rPr>
                <w:bCs/>
              </w:rPr>
              <w:t>from DfE on the pay remit.</w:t>
            </w:r>
          </w:p>
          <w:p w14:paraId="41300FAE" w14:textId="77777777" w:rsidR="00D76BD5" w:rsidRDefault="00D76BD5" w:rsidP="006E6B3D">
            <w:pPr>
              <w:tabs>
                <w:tab w:val="right" w:pos="9026"/>
              </w:tabs>
              <w:rPr>
                <w:bCs/>
              </w:rPr>
            </w:pPr>
          </w:p>
          <w:p w14:paraId="1ADEFC82" w14:textId="619B32FE" w:rsidR="00D76BD5" w:rsidRDefault="00155440" w:rsidP="006E6B3D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There has been t</w:t>
            </w:r>
            <w:r w:rsidR="00D76BD5">
              <w:rPr>
                <w:bCs/>
              </w:rPr>
              <w:t>ight control on recruitment and now beginning to release</w:t>
            </w:r>
            <w:r>
              <w:rPr>
                <w:bCs/>
              </w:rPr>
              <w:t xml:space="preserve"> previously held post</w:t>
            </w:r>
            <w:r w:rsidR="00F53EA5">
              <w:rPr>
                <w:bCs/>
              </w:rPr>
              <w:t>s</w:t>
            </w:r>
            <w:r w:rsidR="00D76BD5">
              <w:rPr>
                <w:bCs/>
              </w:rPr>
              <w:t>.  Meeting on a weekly basis with HR to</w:t>
            </w:r>
            <w:r w:rsidR="00F53EA5">
              <w:rPr>
                <w:bCs/>
              </w:rPr>
              <w:t xml:space="preserve"> monitor </w:t>
            </w:r>
            <w:r>
              <w:rPr>
                <w:bCs/>
              </w:rPr>
              <w:t>recruitment</w:t>
            </w:r>
            <w:r w:rsidR="00052AC3">
              <w:rPr>
                <w:bCs/>
              </w:rPr>
              <w:t>.</w:t>
            </w:r>
            <w:r w:rsidR="00DF1169">
              <w:rPr>
                <w:bCs/>
              </w:rPr>
              <w:t xml:space="preserve">  The updates and financials are reported to the HR Committee.</w:t>
            </w:r>
          </w:p>
          <w:p w14:paraId="1AA8BC9F" w14:textId="77777777" w:rsidR="00D76BD5" w:rsidRDefault="00D76BD5" w:rsidP="006E6B3D">
            <w:pPr>
              <w:tabs>
                <w:tab w:val="right" w:pos="9026"/>
              </w:tabs>
              <w:rPr>
                <w:bCs/>
              </w:rPr>
            </w:pPr>
          </w:p>
          <w:p w14:paraId="2A86E77F" w14:textId="0F0E8F50" w:rsidR="00D76BD5" w:rsidRDefault="00052AC3" w:rsidP="006E6B3D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DCE reported on the </w:t>
            </w:r>
            <w:r w:rsidR="00D76BD5">
              <w:rPr>
                <w:bCs/>
              </w:rPr>
              <w:t>MaSN</w:t>
            </w:r>
            <w:r w:rsidR="00F53EA5">
              <w:rPr>
                <w:bCs/>
              </w:rPr>
              <w:t>. N</w:t>
            </w:r>
            <w:r w:rsidR="00DF1169">
              <w:rPr>
                <w:bCs/>
              </w:rPr>
              <w:t>oted wit</w:t>
            </w:r>
            <w:r w:rsidR="00D76BD5">
              <w:rPr>
                <w:bCs/>
              </w:rPr>
              <w:t>hin 10% tolerance of bid so does not believe that</w:t>
            </w:r>
            <w:r w:rsidR="00F53EA5">
              <w:rPr>
                <w:bCs/>
              </w:rPr>
              <w:t xml:space="preserve"> this</w:t>
            </w:r>
            <w:r w:rsidR="00D76BD5">
              <w:rPr>
                <w:bCs/>
              </w:rPr>
              <w:t xml:space="preserve"> is the risk </w:t>
            </w:r>
            <w:r w:rsidR="00DF1169">
              <w:rPr>
                <w:bCs/>
              </w:rPr>
              <w:t xml:space="preserve">that it </w:t>
            </w:r>
            <w:r w:rsidR="00D76BD5">
              <w:rPr>
                <w:bCs/>
              </w:rPr>
              <w:t xml:space="preserve">used to be. </w:t>
            </w:r>
            <w:r w:rsidR="00DF1169">
              <w:rPr>
                <w:bCs/>
              </w:rPr>
              <w:t xml:space="preserve"> </w:t>
            </w:r>
          </w:p>
          <w:p w14:paraId="7AE470E6" w14:textId="77777777" w:rsidR="00D76BD5" w:rsidRDefault="00D76BD5" w:rsidP="006E6B3D">
            <w:pPr>
              <w:tabs>
                <w:tab w:val="right" w:pos="9026"/>
              </w:tabs>
              <w:rPr>
                <w:bCs/>
              </w:rPr>
            </w:pPr>
          </w:p>
          <w:p w14:paraId="3C15441A" w14:textId="3AA92CEF" w:rsidR="00D76BD5" w:rsidRDefault="00D76BD5" w:rsidP="006E6B3D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DfE Budget Allocation is expected imminently.  </w:t>
            </w:r>
          </w:p>
          <w:p w14:paraId="358D8D55" w14:textId="77777777" w:rsidR="001B2E9D" w:rsidRDefault="001B2E9D" w:rsidP="006E6B3D">
            <w:pPr>
              <w:tabs>
                <w:tab w:val="right" w:pos="9026"/>
              </w:tabs>
              <w:rPr>
                <w:bCs/>
              </w:rPr>
            </w:pPr>
          </w:p>
          <w:p w14:paraId="061D4DA8" w14:textId="6FEAB646" w:rsidR="00D76BD5" w:rsidRDefault="001B2E9D" w:rsidP="006E6B3D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COO outlined the </w:t>
            </w:r>
            <w:proofErr w:type="gramStart"/>
            <w:r>
              <w:rPr>
                <w:bCs/>
              </w:rPr>
              <w:t>t</w:t>
            </w:r>
            <w:r w:rsidR="00D76BD5">
              <w:rPr>
                <w:bCs/>
              </w:rPr>
              <w:t>op down</w:t>
            </w:r>
            <w:proofErr w:type="gramEnd"/>
            <w:r w:rsidR="00D76BD5">
              <w:rPr>
                <w:bCs/>
              </w:rPr>
              <w:t xml:space="preserve"> budget allocation </w:t>
            </w:r>
            <w:r>
              <w:rPr>
                <w:bCs/>
              </w:rPr>
              <w:t>being planned and asked Committee for approval to continue with that process.   Update will be provided to Resources Committee in September and then through to the Governing Body.</w:t>
            </w:r>
          </w:p>
          <w:p w14:paraId="4CD1EF5C" w14:textId="2CD874B0" w:rsidR="001B2E9D" w:rsidRDefault="001B2E9D" w:rsidP="006E6B3D">
            <w:pPr>
              <w:tabs>
                <w:tab w:val="right" w:pos="9026"/>
              </w:tabs>
              <w:rPr>
                <w:bCs/>
              </w:rPr>
            </w:pPr>
          </w:p>
          <w:p w14:paraId="07015CBB" w14:textId="01E345A5" w:rsidR="001B2E9D" w:rsidRDefault="001B2E9D" w:rsidP="006E6B3D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Governors agreed they are content that management continue with the </w:t>
            </w:r>
            <w:proofErr w:type="gramStart"/>
            <w:r>
              <w:rPr>
                <w:bCs/>
              </w:rPr>
              <w:t>top down</w:t>
            </w:r>
            <w:proofErr w:type="gramEnd"/>
            <w:r>
              <w:rPr>
                <w:bCs/>
              </w:rPr>
              <w:t xml:space="preserve"> budget planning.</w:t>
            </w:r>
          </w:p>
          <w:p w14:paraId="06F38025" w14:textId="4687BD92" w:rsidR="00695E11" w:rsidRDefault="00695E11" w:rsidP="006E6B3D">
            <w:pPr>
              <w:tabs>
                <w:tab w:val="right" w:pos="9026"/>
              </w:tabs>
              <w:rPr>
                <w:bCs/>
              </w:rPr>
            </w:pPr>
          </w:p>
          <w:p w14:paraId="6080685D" w14:textId="00960B6E" w:rsidR="00695E11" w:rsidRDefault="00695E11" w:rsidP="006E6B3D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It was noted that while the college receive</w:t>
            </w:r>
            <w:r w:rsidR="00F53EA5">
              <w:rPr>
                <w:bCs/>
              </w:rPr>
              <w:t>s</w:t>
            </w:r>
            <w:r>
              <w:rPr>
                <w:bCs/>
              </w:rPr>
              <w:t xml:space="preserve"> single year budget allocation</w:t>
            </w:r>
            <w:r w:rsidR="00F53EA5">
              <w:rPr>
                <w:bCs/>
              </w:rPr>
              <w:t xml:space="preserve"> from DfE, </w:t>
            </w:r>
            <w:r w:rsidR="00F461C6">
              <w:rPr>
                <w:bCs/>
              </w:rPr>
              <w:t xml:space="preserve">planning internally takes place on </w:t>
            </w:r>
            <w:r w:rsidR="00B905C1">
              <w:rPr>
                <w:bCs/>
              </w:rPr>
              <w:t xml:space="preserve">rolling </w:t>
            </w:r>
            <w:proofErr w:type="gramStart"/>
            <w:r w:rsidR="00B905C1">
              <w:rPr>
                <w:bCs/>
              </w:rPr>
              <w:t>3 year</w:t>
            </w:r>
            <w:proofErr w:type="gramEnd"/>
            <w:r w:rsidR="00B905C1">
              <w:rPr>
                <w:bCs/>
              </w:rPr>
              <w:t xml:space="preserve"> financial modelling.</w:t>
            </w:r>
          </w:p>
          <w:p w14:paraId="31E4F4E9" w14:textId="37946C15" w:rsidR="001B2E9D" w:rsidRDefault="001B2E9D" w:rsidP="006E6B3D">
            <w:pPr>
              <w:tabs>
                <w:tab w:val="right" w:pos="9026"/>
              </w:tabs>
              <w:rPr>
                <w:bCs/>
              </w:rPr>
            </w:pPr>
          </w:p>
          <w:p w14:paraId="4E8197B8" w14:textId="0EBAF885" w:rsidR="00D76BD5" w:rsidRPr="0048286E" w:rsidRDefault="00D76BD5" w:rsidP="003D520B">
            <w:pPr>
              <w:tabs>
                <w:tab w:val="right" w:pos="9026"/>
              </w:tabs>
              <w:rPr>
                <w:b/>
                <w:bCs/>
                <w:u w:val="single"/>
              </w:rPr>
            </w:pPr>
            <w:r w:rsidRPr="008B6FB5">
              <w:t xml:space="preserve">The </w:t>
            </w:r>
            <w:r>
              <w:t xml:space="preserve">Committee </w:t>
            </w:r>
            <w:r w:rsidRPr="00972515">
              <w:rPr>
                <w:b/>
                <w:bCs/>
                <w:u w:val="single"/>
              </w:rPr>
              <w:t>note</w:t>
            </w:r>
            <w:r w:rsidR="00B905C1">
              <w:rPr>
                <w:b/>
                <w:bCs/>
                <w:u w:val="single"/>
              </w:rPr>
              <w:t>d</w:t>
            </w:r>
            <w:r>
              <w:rPr>
                <w:b/>
                <w:bCs/>
                <w:u w:val="single"/>
              </w:rPr>
              <w:t xml:space="preserve"> </w:t>
            </w:r>
            <w:r>
              <w:t>the information provided by and action taken by Management.</w:t>
            </w:r>
          </w:p>
          <w:p w14:paraId="43D29678" w14:textId="77777777" w:rsidR="00D76BD5" w:rsidRDefault="00D76BD5" w:rsidP="003D520B"/>
        </w:tc>
      </w:tr>
      <w:tr w:rsidR="00D76BD5" w14:paraId="1661F3E8" w14:textId="77777777" w:rsidTr="009E6B4E">
        <w:tc>
          <w:tcPr>
            <w:tcW w:w="526" w:type="pct"/>
          </w:tcPr>
          <w:p w14:paraId="79A09A3E" w14:textId="009843FD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lastRenderedPageBreak/>
              <w:t>RC54</w:t>
            </w:r>
          </w:p>
          <w:p w14:paraId="54EFD3BD" w14:textId="7061F929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23/24</w:t>
            </w:r>
          </w:p>
          <w:p w14:paraId="0F9AD7EC" w14:textId="77777777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1335C90F" w14:textId="77777777" w:rsidR="00D76BD5" w:rsidRDefault="00D76BD5" w:rsidP="00920A46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4474" w:type="pct"/>
          </w:tcPr>
          <w:p w14:paraId="2E85D911" w14:textId="5380554B" w:rsidR="00D76BD5" w:rsidRPr="00A279B1" w:rsidRDefault="00D76BD5" w:rsidP="003D520B">
            <w:pPr>
              <w:tabs>
                <w:tab w:val="right" w:pos="9026"/>
              </w:tabs>
              <w:rPr>
                <w:b/>
                <w:lang w:val="it-IT"/>
              </w:rPr>
            </w:pPr>
            <w:r w:rsidRPr="00AD1157">
              <w:rPr>
                <w:b/>
                <w:lang w:val="it-IT"/>
              </w:rPr>
              <w:t>CEDSI and CFSA Non-Core I</w:t>
            </w:r>
            <w:r>
              <w:rPr>
                <w:b/>
                <w:lang w:val="it-IT"/>
              </w:rPr>
              <w:t>ncome Reforecast and Report Q3 2023/24</w:t>
            </w:r>
          </w:p>
          <w:p w14:paraId="5FE51CF8" w14:textId="77777777" w:rsidR="00D76BD5" w:rsidRDefault="00D76BD5" w:rsidP="003D520B">
            <w:pPr>
              <w:tabs>
                <w:tab w:val="right" w:pos="9026"/>
              </w:tabs>
              <w:rPr>
                <w:b/>
              </w:rPr>
            </w:pPr>
          </w:p>
          <w:p w14:paraId="37BCD9A8" w14:textId="1C6DA2F9" w:rsidR="00D76BD5" w:rsidRDefault="00B905C1" w:rsidP="003D520B">
            <w:pPr>
              <w:tabs>
                <w:tab w:val="right" w:pos="9026"/>
              </w:tabs>
              <w:rPr>
                <w:bCs/>
              </w:rPr>
            </w:pPr>
            <w:r>
              <w:t>HCEDSI</w:t>
            </w:r>
            <w:r>
              <w:rPr>
                <w:bCs/>
              </w:rPr>
              <w:t xml:space="preserve"> gave an update</w:t>
            </w:r>
            <w:r w:rsidR="00004332">
              <w:rPr>
                <w:bCs/>
              </w:rPr>
              <w:t xml:space="preserve"> a</w:t>
            </w:r>
            <w:r w:rsidR="009E14AF">
              <w:rPr>
                <w:bCs/>
              </w:rPr>
              <w:t>n</w:t>
            </w:r>
            <w:r w:rsidR="00004332">
              <w:rPr>
                <w:bCs/>
              </w:rPr>
              <w:t>d noted there is not a significant c</w:t>
            </w:r>
            <w:r w:rsidR="00D76BD5">
              <w:rPr>
                <w:bCs/>
              </w:rPr>
              <w:t xml:space="preserve">hange between </w:t>
            </w:r>
            <w:r w:rsidR="004054D0">
              <w:rPr>
                <w:bCs/>
              </w:rPr>
              <w:t xml:space="preserve">the </w:t>
            </w:r>
            <w:r w:rsidR="00D76BD5">
              <w:rPr>
                <w:bCs/>
              </w:rPr>
              <w:t>Q2 and Q3</w:t>
            </w:r>
            <w:r w:rsidR="00004332">
              <w:rPr>
                <w:bCs/>
              </w:rPr>
              <w:t xml:space="preserve"> reports.   She outlined the b</w:t>
            </w:r>
            <w:r w:rsidR="00D76BD5">
              <w:rPr>
                <w:bCs/>
              </w:rPr>
              <w:t>reakdown of non</w:t>
            </w:r>
            <w:r w:rsidR="00004332">
              <w:rPr>
                <w:bCs/>
              </w:rPr>
              <w:t>-</w:t>
            </w:r>
            <w:r w:rsidR="00D76BD5">
              <w:rPr>
                <w:bCs/>
              </w:rPr>
              <w:t>core areas</w:t>
            </w:r>
            <w:r w:rsidR="00004332">
              <w:rPr>
                <w:bCs/>
              </w:rPr>
              <w:t>, noted the estimated</w:t>
            </w:r>
            <w:r w:rsidR="00D76BD5">
              <w:rPr>
                <w:bCs/>
              </w:rPr>
              <w:t xml:space="preserve"> deficit</w:t>
            </w:r>
            <w:r w:rsidR="00004332">
              <w:rPr>
                <w:bCs/>
              </w:rPr>
              <w:t xml:space="preserve"> and that o</w:t>
            </w:r>
            <w:r w:rsidR="00D76BD5">
              <w:rPr>
                <w:bCs/>
              </w:rPr>
              <w:t>n target for DfE funded programmes.</w:t>
            </w:r>
            <w:r w:rsidR="000117C9">
              <w:rPr>
                <w:bCs/>
              </w:rPr>
              <w:t xml:space="preserve">   Confirmed all proceeding as planned.</w:t>
            </w:r>
          </w:p>
          <w:p w14:paraId="6585BDF7" w14:textId="77777777" w:rsidR="00D76BD5" w:rsidRDefault="00D76BD5" w:rsidP="003D520B">
            <w:pPr>
              <w:tabs>
                <w:tab w:val="right" w:pos="9026"/>
              </w:tabs>
              <w:rPr>
                <w:bCs/>
              </w:rPr>
            </w:pPr>
          </w:p>
          <w:p w14:paraId="6DAE863C" w14:textId="20D88FCF" w:rsidR="00004332" w:rsidRDefault="00D76BD5" w:rsidP="0000433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EU programme completed</w:t>
            </w:r>
            <w:r w:rsidR="00C40234">
              <w:rPr>
                <w:bCs/>
              </w:rPr>
              <w:t xml:space="preserve"> and the </w:t>
            </w:r>
            <w:r>
              <w:rPr>
                <w:bCs/>
              </w:rPr>
              <w:t>draw</w:t>
            </w:r>
            <w:r w:rsidR="004054D0">
              <w:rPr>
                <w:bCs/>
              </w:rPr>
              <w:t>n</w:t>
            </w:r>
            <w:r>
              <w:rPr>
                <w:bCs/>
              </w:rPr>
              <w:t xml:space="preserve"> down money can be seen</w:t>
            </w:r>
            <w:r w:rsidR="00C40234">
              <w:rPr>
                <w:bCs/>
              </w:rPr>
              <w:t xml:space="preserve"> in</w:t>
            </w:r>
            <w:r w:rsidR="00004332">
              <w:rPr>
                <w:bCs/>
              </w:rPr>
              <w:t xml:space="preserve"> the </w:t>
            </w:r>
            <w:proofErr w:type="gramStart"/>
            <w:r w:rsidR="00004332">
              <w:rPr>
                <w:bCs/>
              </w:rPr>
              <w:t>report..</w:t>
            </w:r>
            <w:proofErr w:type="gramEnd"/>
            <w:r w:rsidR="00004332">
              <w:rPr>
                <w:bCs/>
              </w:rPr>
              <w:t xml:space="preserve">  The main benefits of this EU work are building capacity, development of knowledge and understanding, partnerships and mobility opportunities.</w:t>
            </w:r>
          </w:p>
          <w:p w14:paraId="5DFF0281" w14:textId="5B60ADF2" w:rsidR="00D76BD5" w:rsidRDefault="00D76BD5" w:rsidP="003D520B">
            <w:pPr>
              <w:tabs>
                <w:tab w:val="right" w:pos="9026"/>
              </w:tabs>
              <w:rPr>
                <w:bCs/>
              </w:rPr>
            </w:pPr>
          </w:p>
          <w:p w14:paraId="16B14E35" w14:textId="2F11BF88" w:rsidR="00D76BD5" w:rsidRDefault="000117C9" w:rsidP="003D520B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</w:t>
            </w:r>
            <w:r w:rsidR="00D76BD5">
              <w:rPr>
                <w:bCs/>
              </w:rPr>
              <w:t>Skills &amp; Apprentices</w:t>
            </w:r>
            <w:r>
              <w:rPr>
                <w:bCs/>
              </w:rPr>
              <w:t>hips</w:t>
            </w:r>
            <w:r w:rsidR="00D76BD5">
              <w:rPr>
                <w:bCs/>
              </w:rPr>
              <w:t xml:space="preserve"> variance</w:t>
            </w:r>
            <w:r>
              <w:rPr>
                <w:bCs/>
              </w:rPr>
              <w:t xml:space="preserve"> was noted</w:t>
            </w:r>
            <w:r w:rsidR="00D76BD5">
              <w:rPr>
                <w:bCs/>
              </w:rPr>
              <w:t xml:space="preserve">.  </w:t>
            </w:r>
            <w:r w:rsidR="00BB4295">
              <w:rPr>
                <w:bCs/>
              </w:rPr>
              <w:t>Mainly caused by the im</w:t>
            </w:r>
            <w:r w:rsidR="00D76BD5">
              <w:rPr>
                <w:bCs/>
              </w:rPr>
              <w:t>pact</w:t>
            </w:r>
            <w:r w:rsidR="004054D0">
              <w:rPr>
                <w:bCs/>
              </w:rPr>
              <w:t xml:space="preserve"> of </w:t>
            </w:r>
            <w:r w:rsidR="00D76BD5">
              <w:rPr>
                <w:bCs/>
              </w:rPr>
              <w:t>ASOS</w:t>
            </w:r>
            <w:r w:rsidR="00BB4295">
              <w:rPr>
                <w:bCs/>
              </w:rPr>
              <w:t xml:space="preserve"> and information </w:t>
            </w:r>
            <w:r w:rsidR="003310CF">
              <w:rPr>
                <w:bCs/>
              </w:rPr>
              <w:t xml:space="preserve">not available </w:t>
            </w:r>
            <w:r w:rsidR="00BB4295">
              <w:rPr>
                <w:bCs/>
              </w:rPr>
              <w:t xml:space="preserve">to </w:t>
            </w:r>
            <w:r w:rsidR="003310CF">
              <w:rPr>
                <w:bCs/>
              </w:rPr>
              <w:t>enable</w:t>
            </w:r>
            <w:r w:rsidR="00BB4295">
              <w:rPr>
                <w:bCs/>
              </w:rPr>
              <w:t xml:space="preserve"> </w:t>
            </w:r>
            <w:r w:rsidR="003310CF">
              <w:rPr>
                <w:bCs/>
              </w:rPr>
              <w:t xml:space="preserve">milestone </w:t>
            </w:r>
            <w:r w:rsidR="00BB4295">
              <w:rPr>
                <w:bCs/>
              </w:rPr>
              <w:t>claims.</w:t>
            </w:r>
            <w:r w:rsidR="00D76BD5">
              <w:rPr>
                <w:bCs/>
              </w:rPr>
              <w:t xml:space="preserve">  </w:t>
            </w:r>
            <w:r w:rsidR="003310CF">
              <w:rPr>
                <w:bCs/>
              </w:rPr>
              <w:t xml:space="preserve">Confident the work has been done and </w:t>
            </w:r>
            <w:r w:rsidR="00BB4295">
              <w:rPr>
                <w:bCs/>
              </w:rPr>
              <w:t>that this is just a</w:t>
            </w:r>
            <w:r w:rsidR="00D76BD5">
              <w:rPr>
                <w:bCs/>
              </w:rPr>
              <w:t xml:space="preserve"> timing issue</w:t>
            </w:r>
            <w:r w:rsidR="003310CF">
              <w:rPr>
                <w:bCs/>
              </w:rPr>
              <w:t xml:space="preserve">.  A </w:t>
            </w:r>
            <w:r w:rsidR="00BB4295">
              <w:rPr>
                <w:bCs/>
              </w:rPr>
              <w:t>p</w:t>
            </w:r>
            <w:r w:rsidR="00D76BD5">
              <w:rPr>
                <w:bCs/>
              </w:rPr>
              <w:t xml:space="preserve">roject team </w:t>
            </w:r>
            <w:r w:rsidR="00BB4295">
              <w:rPr>
                <w:bCs/>
              </w:rPr>
              <w:t xml:space="preserve">has been </w:t>
            </w:r>
            <w:r w:rsidR="00D76BD5">
              <w:rPr>
                <w:bCs/>
              </w:rPr>
              <w:t>set up</w:t>
            </w:r>
            <w:r w:rsidR="003310CF">
              <w:rPr>
                <w:bCs/>
              </w:rPr>
              <w:t xml:space="preserve"> to follow up the paperwork and resolve any issues.  </w:t>
            </w:r>
          </w:p>
          <w:p w14:paraId="61AB4E9F" w14:textId="77777777" w:rsidR="003310CF" w:rsidRDefault="003310CF" w:rsidP="003D520B">
            <w:pPr>
              <w:tabs>
                <w:tab w:val="right" w:pos="9026"/>
              </w:tabs>
              <w:rPr>
                <w:bCs/>
              </w:rPr>
            </w:pPr>
          </w:p>
          <w:p w14:paraId="2B5D5773" w14:textId="77777777" w:rsidR="00D76BD5" w:rsidRDefault="00D76BD5" w:rsidP="003D520B">
            <w:pPr>
              <w:tabs>
                <w:tab w:val="right" w:pos="9026"/>
              </w:tabs>
              <w:rPr>
                <w:bCs/>
              </w:rPr>
            </w:pPr>
          </w:p>
          <w:p w14:paraId="73952DFB" w14:textId="1BFA10C3" w:rsidR="00D76BD5" w:rsidRDefault="00D76BD5" w:rsidP="003D520B">
            <w:pPr>
              <w:tabs>
                <w:tab w:val="right" w:pos="9026"/>
              </w:tabs>
            </w:pPr>
            <w:r>
              <w:t xml:space="preserve">The Committee </w:t>
            </w:r>
            <w:r w:rsidRPr="004E2D8D">
              <w:rPr>
                <w:b/>
              </w:rPr>
              <w:t>note</w:t>
            </w:r>
            <w:r w:rsidR="00AE5A8E" w:rsidRPr="004E2D8D">
              <w:rPr>
                <w:b/>
              </w:rPr>
              <w:t>d</w:t>
            </w:r>
            <w:r>
              <w:t xml:space="preserve"> the information provided by and the action taken by Management.</w:t>
            </w:r>
          </w:p>
          <w:p w14:paraId="116F04D1" w14:textId="77777777" w:rsidR="00D76BD5" w:rsidRDefault="00D76BD5" w:rsidP="003D520B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D76BD5" w14:paraId="7AC264F2" w14:textId="77777777" w:rsidTr="009E6B4E">
        <w:tc>
          <w:tcPr>
            <w:tcW w:w="526" w:type="pct"/>
          </w:tcPr>
          <w:p w14:paraId="4AC4E55D" w14:textId="7877E651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RC55</w:t>
            </w:r>
          </w:p>
          <w:p w14:paraId="3D11F8DC" w14:textId="49E3FF45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23/24</w:t>
            </w:r>
          </w:p>
          <w:p w14:paraId="7584E15E" w14:textId="77777777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4F50B4CB" w14:textId="77777777" w:rsidR="00D76BD5" w:rsidRDefault="00D76BD5" w:rsidP="00920A46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4474" w:type="pct"/>
          </w:tcPr>
          <w:p w14:paraId="3473BA60" w14:textId="40EEE7F5" w:rsidR="00D76BD5" w:rsidRDefault="00D76BD5" w:rsidP="003D520B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Information Technology Report Q3 2023/24</w:t>
            </w:r>
          </w:p>
          <w:p w14:paraId="63F33659" w14:textId="77777777" w:rsidR="00D76BD5" w:rsidRDefault="00D76BD5" w:rsidP="003D520B">
            <w:pPr>
              <w:tabs>
                <w:tab w:val="right" w:pos="9026"/>
              </w:tabs>
              <w:rPr>
                <w:bCs/>
              </w:rPr>
            </w:pPr>
          </w:p>
          <w:p w14:paraId="44F40646" w14:textId="0A7302CC" w:rsidR="00D76BD5" w:rsidRDefault="00541628" w:rsidP="003D520B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HIT</w:t>
            </w:r>
            <w:r w:rsidR="009E14AF">
              <w:rPr>
                <w:bCs/>
              </w:rPr>
              <w:t xml:space="preserve"> outlined the Q</w:t>
            </w:r>
            <w:r w:rsidR="00274875">
              <w:rPr>
                <w:bCs/>
              </w:rPr>
              <w:t xml:space="preserve">3 update </w:t>
            </w:r>
            <w:r w:rsidR="004E2D8D">
              <w:rPr>
                <w:bCs/>
              </w:rPr>
              <w:t>including</w:t>
            </w:r>
            <w:r w:rsidR="00274875">
              <w:rPr>
                <w:bCs/>
              </w:rPr>
              <w:t xml:space="preserve"> the c</w:t>
            </w:r>
            <w:r w:rsidR="00D76BD5">
              <w:rPr>
                <w:bCs/>
              </w:rPr>
              <w:t>ontinu</w:t>
            </w:r>
            <w:r w:rsidR="00274875">
              <w:rPr>
                <w:bCs/>
              </w:rPr>
              <w:t>ing</w:t>
            </w:r>
            <w:r w:rsidR="00D76BD5">
              <w:rPr>
                <w:bCs/>
              </w:rPr>
              <w:t xml:space="preserve"> business </w:t>
            </w:r>
            <w:r w:rsidR="009D1B96">
              <w:rPr>
                <w:bCs/>
              </w:rPr>
              <w:t>as usual</w:t>
            </w:r>
            <w:r w:rsidR="004E2D8D">
              <w:rPr>
                <w:bCs/>
              </w:rPr>
              <w:t xml:space="preserve">, </w:t>
            </w:r>
            <w:r w:rsidR="00D76BD5">
              <w:rPr>
                <w:bCs/>
              </w:rPr>
              <w:t xml:space="preserve">work completed </w:t>
            </w:r>
            <w:r w:rsidR="002C1D26">
              <w:rPr>
                <w:bCs/>
              </w:rPr>
              <w:t>this quarter and ongoing project</w:t>
            </w:r>
            <w:r w:rsidR="001B6CF8">
              <w:rPr>
                <w:bCs/>
              </w:rPr>
              <w:t xml:space="preserve"> including:</w:t>
            </w:r>
          </w:p>
          <w:p w14:paraId="1DC680B3" w14:textId="77777777" w:rsidR="00D76BD5" w:rsidRDefault="00D76BD5" w:rsidP="003D520B">
            <w:pPr>
              <w:tabs>
                <w:tab w:val="right" w:pos="9026"/>
              </w:tabs>
              <w:rPr>
                <w:bCs/>
              </w:rPr>
            </w:pPr>
          </w:p>
          <w:p w14:paraId="183B9E83" w14:textId="07DC4443" w:rsidR="003A5FD5" w:rsidRDefault="001B6CF8" w:rsidP="001B6CF8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Roll out of </w:t>
            </w:r>
            <w:r w:rsidR="003A5FD5">
              <w:rPr>
                <w:bCs/>
              </w:rPr>
              <w:t>replacement desktops and lap</w:t>
            </w:r>
            <w:r w:rsidR="00E53811">
              <w:rPr>
                <w:bCs/>
              </w:rPr>
              <w:t xml:space="preserve">tops and </w:t>
            </w:r>
            <w:r w:rsidR="003A5FD5">
              <w:rPr>
                <w:bCs/>
              </w:rPr>
              <w:t>replacement of network swi</w:t>
            </w:r>
            <w:r w:rsidR="00E53811">
              <w:rPr>
                <w:bCs/>
              </w:rPr>
              <w:t>tches.</w:t>
            </w:r>
          </w:p>
          <w:p w14:paraId="2E547330" w14:textId="77777777" w:rsidR="003A5FD5" w:rsidRDefault="003A5FD5" w:rsidP="00E53811">
            <w:pPr>
              <w:pStyle w:val="ListParagraph"/>
              <w:tabs>
                <w:tab w:val="right" w:pos="9026"/>
              </w:tabs>
              <w:rPr>
                <w:bCs/>
              </w:rPr>
            </w:pPr>
          </w:p>
          <w:p w14:paraId="36EDAB89" w14:textId="66450A6A" w:rsidR="00D76BD5" w:rsidRPr="001B6CF8" w:rsidRDefault="001B6CF8" w:rsidP="001B6CF8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U</w:t>
            </w:r>
            <w:r w:rsidR="00D76BD5" w:rsidRPr="001B6CF8">
              <w:rPr>
                <w:bCs/>
              </w:rPr>
              <w:t xml:space="preserve">pgrade of </w:t>
            </w:r>
            <w:r w:rsidR="00F11F87" w:rsidRPr="001B6CF8">
              <w:rPr>
                <w:bCs/>
              </w:rPr>
              <w:t>i</w:t>
            </w:r>
            <w:r w:rsidR="00D76BD5" w:rsidRPr="001B6CF8">
              <w:rPr>
                <w:bCs/>
              </w:rPr>
              <w:t xml:space="preserve">nternet </w:t>
            </w:r>
            <w:r w:rsidR="00F11F87" w:rsidRPr="001B6CF8">
              <w:rPr>
                <w:bCs/>
              </w:rPr>
              <w:t>b</w:t>
            </w:r>
            <w:r w:rsidR="00D76BD5" w:rsidRPr="001B6CF8">
              <w:rPr>
                <w:bCs/>
              </w:rPr>
              <w:t xml:space="preserve">andwidth to </w:t>
            </w:r>
            <w:r w:rsidR="00FE2504" w:rsidRPr="001B6CF8">
              <w:rPr>
                <w:bCs/>
              </w:rPr>
              <w:t>the maximum change allowed by the provide</w:t>
            </w:r>
            <w:r w:rsidR="00F11F87" w:rsidRPr="001B6CF8">
              <w:rPr>
                <w:bCs/>
              </w:rPr>
              <w:t>r at this stage</w:t>
            </w:r>
            <w:r w:rsidR="00FE2504" w:rsidRPr="001B6CF8">
              <w:rPr>
                <w:bCs/>
              </w:rPr>
              <w:t>.  Will monitor and keep usage under review</w:t>
            </w:r>
            <w:r w:rsidR="00533E2E" w:rsidRPr="001B6CF8">
              <w:rPr>
                <w:bCs/>
              </w:rPr>
              <w:t xml:space="preserve"> for future proofing</w:t>
            </w:r>
            <w:r w:rsidR="0030588A">
              <w:rPr>
                <w:bCs/>
              </w:rPr>
              <w:t>.</w:t>
            </w:r>
          </w:p>
          <w:p w14:paraId="69B6A9AA" w14:textId="77777777" w:rsidR="00FE2504" w:rsidRDefault="00FE2504" w:rsidP="003D520B">
            <w:pPr>
              <w:tabs>
                <w:tab w:val="right" w:pos="9026"/>
              </w:tabs>
              <w:rPr>
                <w:bCs/>
              </w:rPr>
            </w:pPr>
          </w:p>
          <w:p w14:paraId="05B9B98F" w14:textId="01AD7175" w:rsidR="00D76BD5" w:rsidRPr="001B6CF8" w:rsidRDefault="00FE2504" w:rsidP="001B6CF8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 w:rsidRPr="001B6CF8">
              <w:rPr>
                <w:bCs/>
              </w:rPr>
              <w:t>Infrastructure</w:t>
            </w:r>
            <w:r w:rsidR="00D76BD5" w:rsidRPr="001B6CF8">
              <w:rPr>
                <w:bCs/>
              </w:rPr>
              <w:t xml:space="preserve"> for Shared Service</w:t>
            </w:r>
            <w:r w:rsidR="0068013E">
              <w:rPr>
                <w:bCs/>
              </w:rPr>
              <w:t>s</w:t>
            </w:r>
            <w:r w:rsidR="00D76BD5" w:rsidRPr="001B6CF8">
              <w:rPr>
                <w:bCs/>
              </w:rPr>
              <w:t xml:space="preserve"> Centre in e3 and ESOL in Millfield</w:t>
            </w:r>
            <w:r w:rsidR="0030588A">
              <w:rPr>
                <w:bCs/>
              </w:rPr>
              <w:t>.</w:t>
            </w:r>
          </w:p>
          <w:p w14:paraId="346E8BFF" w14:textId="77777777" w:rsidR="00B83239" w:rsidRDefault="00B83239" w:rsidP="003D520B">
            <w:pPr>
              <w:tabs>
                <w:tab w:val="right" w:pos="9026"/>
              </w:tabs>
              <w:rPr>
                <w:bCs/>
              </w:rPr>
            </w:pPr>
          </w:p>
          <w:p w14:paraId="576014B9" w14:textId="75E64D06" w:rsidR="00D76BD5" w:rsidRPr="001B6CF8" w:rsidRDefault="00D76BD5" w:rsidP="001B6CF8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 w:rsidRPr="001B6CF8">
              <w:rPr>
                <w:bCs/>
              </w:rPr>
              <w:t xml:space="preserve">Investigation of AI technologies focussing on ChatGPT and Microsoft </w:t>
            </w:r>
            <w:r w:rsidR="00E25773">
              <w:rPr>
                <w:bCs/>
              </w:rPr>
              <w:t>C</w:t>
            </w:r>
            <w:r w:rsidRPr="001B6CF8">
              <w:rPr>
                <w:bCs/>
              </w:rPr>
              <w:t>o-pilot</w:t>
            </w:r>
            <w:r w:rsidR="0030588A">
              <w:rPr>
                <w:bCs/>
              </w:rPr>
              <w:t>.</w:t>
            </w:r>
          </w:p>
          <w:p w14:paraId="6767714B" w14:textId="77777777" w:rsidR="00D76BD5" w:rsidRDefault="00D76BD5" w:rsidP="003D520B">
            <w:pPr>
              <w:tabs>
                <w:tab w:val="right" w:pos="9026"/>
              </w:tabs>
              <w:rPr>
                <w:bCs/>
              </w:rPr>
            </w:pPr>
          </w:p>
          <w:p w14:paraId="04B9D637" w14:textId="420A205B" w:rsidR="00E61817" w:rsidRPr="00B334EF" w:rsidRDefault="00D76BD5" w:rsidP="003D520B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 w:rsidRPr="001B6CF8">
              <w:rPr>
                <w:bCs/>
              </w:rPr>
              <w:t>Ongoing throughout the year includes cyber security actions, achieved cyber essentials plus, review the Digital Strategy</w:t>
            </w:r>
            <w:r w:rsidR="00B334EF">
              <w:rPr>
                <w:bCs/>
              </w:rPr>
              <w:t xml:space="preserve">.  </w:t>
            </w:r>
            <w:r w:rsidR="00E61817" w:rsidRPr="00B334EF">
              <w:rPr>
                <w:bCs/>
              </w:rPr>
              <w:t>Phi</w:t>
            </w:r>
            <w:r w:rsidR="002F5238" w:rsidRPr="00B334EF">
              <w:rPr>
                <w:bCs/>
              </w:rPr>
              <w:t xml:space="preserve">shing simulations carried out by the IT &amp; Digital teams discussed.  Specific groups/departments will be targets </w:t>
            </w:r>
            <w:r w:rsidR="00553FFF" w:rsidRPr="00B334EF">
              <w:rPr>
                <w:bCs/>
              </w:rPr>
              <w:t>to test how vigilant staff are.   Training will be provided to staff as required.</w:t>
            </w:r>
          </w:p>
          <w:p w14:paraId="4A2B51EB" w14:textId="7AF29177" w:rsidR="00553FFF" w:rsidRDefault="00553FFF" w:rsidP="003D520B">
            <w:pPr>
              <w:tabs>
                <w:tab w:val="right" w:pos="9026"/>
              </w:tabs>
              <w:rPr>
                <w:bCs/>
              </w:rPr>
            </w:pPr>
          </w:p>
          <w:p w14:paraId="7A817D74" w14:textId="057718B6" w:rsidR="00D76BD5" w:rsidRPr="000C1813" w:rsidRDefault="00D76BD5" w:rsidP="003D520B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Committee</w:t>
            </w:r>
            <w:r w:rsidRPr="001B6CF8">
              <w:rPr>
                <w:bCs/>
              </w:rPr>
              <w:t xml:space="preserve"> </w:t>
            </w:r>
            <w:r w:rsidRPr="001B6CF8">
              <w:rPr>
                <w:b/>
              </w:rPr>
              <w:t>not</w:t>
            </w:r>
            <w:r w:rsidR="001B6CF8" w:rsidRPr="001B6CF8">
              <w:rPr>
                <w:b/>
              </w:rPr>
              <w:t xml:space="preserve">ed </w:t>
            </w:r>
            <w:r>
              <w:rPr>
                <w:bCs/>
              </w:rPr>
              <w:t>the information provided by and the action taken by Management.</w:t>
            </w:r>
          </w:p>
          <w:p w14:paraId="6634A2D7" w14:textId="77777777" w:rsidR="00D76BD5" w:rsidRDefault="00D76BD5" w:rsidP="003D520B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D76BD5" w14:paraId="77A6BFF6" w14:textId="77777777" w:rsidTr="009E6B4E">
        <w:tc>
          <w:tcPr>
            <w:tcW w:w="526" w:type="pct"/>
          </w:tcPr>
          <w:p w14:paraId="6439D574" w14:textId="7DB8C388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RC56</w:t>
            </w:r>
          </w:p>
          <w:p w14:paraId="2E38E9BB" w14:textId="5ED9CA7C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23/24</w:t>
            </w:r>
          </w:p>
          <w:p w14:paraId="586B65D3" w14:textId="77777777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6838F0CE" w14:textId="77777777" w:rsidR="00D76BD5" w:rsidRDefault="00D76BD5" w:rsidP="00920A46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4474" w:type="pct"/>
          </w:tcPr>
          <w:p w14:paraId="2967257E" w14:textId="0A627987" w:rsidR="00D76BD5" w:rsidRDefault="00D76BD5" w:rsidP="003D520B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Estate and Facilities Management Report Q3 2023/24</w:t>
            </w:r>
          </w:p>
          <w:p w14:paraId="47DD1AC2" w14:textId="77777777" w:rsidR="00D76BD5" w:rsidRDefault="00D76BD5" w:rsidP="003D520B">
            <w:pPr>
              <w:tabs>
                <w:tab w:val="right" w:pos="9026"/>
              </w:tabs>
              <w:rPr>
                <w:b/>
              </w:rPr>
            </w:pPr>
          </w:p>
          <w:p w14:paraId="406F2360" w14:textId="1E3EEC98" w:rsidR="00D76BD5" w:rsidRDefault="00FF537E" w:rsidP="003D520B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HEFM</w:t>
            </w:r>
            <w:r w:rsidR="00D76BD5">
              <w:rPr>
                <w:bCs/>
              </w:rPr>
              <w:t xml:space="preserve"> gave an update on progress on projects including</w:t>
            </w:r>
            <w:r>
              <w:rPr>
                <w:bCs/>
              </w:rPr>
              <w:t>:</w:t>
            </w:r>
          </w:p>
          <w:p w14:paraId="5A4CF776" w14:textId="77777777" w:rsidR="00FF537E" w:rsidRDefault="00FF537E" w:rsidP="003D520B">
            <w:pPr>
              <w:tabs>
                <w:tab w:val="right" w:pos="9026"/>
              </w:tabs>
              <w:rPr>
                <w:bCs/>
              </w:rPr>
            </w:pPr>
          </w:p>
          <w:p w14:paraId="2522ED41" w14:textId="3A4DE74A" w:rsidR="00D76BD5" w:rsidRPr="00FF537E" w:rsidRDefault="00D76BD5" w:rsidP="00FF537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 w:rsidRPr="00FF537E">
              <w:rPr>
                <w:bCs/>
              </w:rPr>
              <w:t>Castlereagh SOC</w:t>
            </w:r>
          </w:p>
          <w:p w14:paraId="4B00AAAD" w14:textId="1DEE6F82" w:rsidR="00D76BD5" w:rsidRPr="00FF537E" w:rsidRDefault="00D76BD5" w:rsidP="00FF537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 w:rsidRPr="00FF537E">
              <w:rPr>
                <w:bCs/>
              </w:rPr>
              <w:t>Consolidation works – ESOL to Millfield</w:t>
            </w:r>
            <w:r w:rsidR="000604C3">
              <w:rPr>
                <w:bCs/>
              </w:rPr>
              <w:t xml:space="preserve"> and the </w:t>
            </w:r>
            <w:r w:rsidRPr="00FF537E">
              <w:rPr>
                <w:bCs/>
              </w:rPr>
              <w:t>Shared Service</w:t>
            </w:r>
            <w:r w:rsidR="00E25773">
              <w:rPr>
                <w:bCs/>
              </w:rPr>
              <w:t>s</w:t>
            </w:r>
            <w:r w:rsidR="000604C3">
              <w:rPr>
                <w:bCs/>
              </w:rPr>
              <w:t xml:space="preserve"> Centre</w:t>
            </w:r>
            <w:r w:rsidR="00050491">
              <w:rPr>
                <w:bCs/>
              </w:rPr>
              <w:t xml:space="preserve">, </w:t>
            </w:r>
            <w:r w:rsidRPr="00FF537E">
              <w:rPr>
                <w:bCs/>
              </w:rPr>
              <w:t>Spring</w:t>
            </w:r>
            <w:r w:rsidR="00FF537E">
              <w:rPr>
                <w:bCs/>
              </w:rPr>
              <w:t>vale Campus</w:t>
            </w:r>
            <w:r w:rsidR="00DD4D38">
              <w:rPr>
                <w:bCs/>
              </w:rPr>
              <w:t>.  Decant plan</w:t>
            </w:r>
            <w:r w:rsidR="00050491">
              <w:rPr>
                <w:bCs/>
              </w:rPr>
              <w:t>s</w:t>
            </w:r>
            <w:r w:rsidR="00DD4D38">
              <w:rPr>
                <w:bCs/>
              </w:rPr>
              <w:t xml:space="preserve"> including the disposal of confidential waste is in place.</w:t>
            </w:r>
          </w:p>
          <w:p w14:paraId="22B78AD3" w14:textId="5F3883E0" w:rsidR="00D76BD5" w:rsidRPr="00FF537E" w:rsidRDefault="00D76BD5" w:rsidP="00FF537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 w:rsidRPr="00FF537E">
              <w:rPr>
                <w:bCs/>
              </w:rPr>
              <w:lastRenderedPageBreak/>
              <w:t>Millfield Exit</w:t>
            </w:r>
            <w:r w:rsidR="00CA6678">
              <w:rPr>
                <w:bCs/>
              </w:rPr>
              <w:t>.  Noted 2 colleges have exit expir</w:t>
            </w:r>
            <w:r w:rsidR="004E644A">
              <w:rPr>
                <w:bCs/>
              </w:rPr>
              <w:t>ies</w:t>
            </w:r>
            <w:r w:rsidR="00CA6678">
              <w:rPr>
                <w:bCs/>
              </w:rPr>
              <w:t xml:space="preserve"> coming up.  HEFM has been on </w:t>
            </w:r>
            <w:r w:rsidR="002C1D26">
              <w:rPr>
                <w:bCs/>
              </w:rPr>
              <w:t xml:space="preserve">specific PFI-Exit Process </w:t>
            </w:r>
            <w:r w:rsidR="00CA6678">
              <w:rPr>
                <w:bCs/>
              </w:rPr>
              <w:t>training to support this work.</w:t>
            </w:r>
          </w:p>
          <w:p w14:paraId="026810C9" w14:textId="194389CC" w:rsidR="00D76BD5" w:rsidRPr="00FF537E" w:rsidRDefault="00D76BD5" w:rsidP="00FF537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 w:rsidRPr="00FF537E">
              <w:rPr>
                <w:bCs/>
              </w:rPr>
              <w:t>H</w:t>
            </w:r>
            <w:r w:rsidR="00FF537E">
              <w:rPr>
                <w:bCs/>
              </w:rPr>
              <w:t>ealth and Safety</w:t>
            </w:r>
            <w:r w:rsidR="00845ABE">
              <w:rPr>
                <w:bCs/>
              </w:rPr>
              <w:t xml:space="preserve"> annual audit </w:t>
            </w:r>
            <w:r w:rsidR="00514F7C">
              <w:rPr>
                <w:bCs/>
              </w:rPr>
              <w:t xml:space="preserve">of all departments </w:t>
            </w:r>
            <w:r w:rsidR="004E644A">
              <w:rPr>
                <w:bCs/>
              </w:rPr>
              <w:t>ongoing</w:t>
            </w:r>
            <w:r w:rsidR="00514F7C">
              <w:rPr>
                <w:bCs/>
              </w:rPr>
              <w:t xml:space="preserve">.  </w:t>
            </w:r>
            <w:r w:rsidRPr="00FF537E">
              <w:rPr>
                <w:bCs/>
              </w:rPr>
              <w:t>Advisory Committee</w:t>
            </w:r>
            <w:r w:rsidR="00514F7C">
              <w:rPr>
                <w:bCs/>
              </w:rPr>
              <w:t xml:space="preserve"> meeting taking place</w:t>
            </w:r>
            <w:r w:rsidR="002C1D26">
              <w:rPr>
                <w:bCs/>
              </w:rPr>
              <w:t xml:space="preserve"> in Q4</w:t>
            </w:r>
            <w:r w:rsidR="00514F7C">
              <w:rPr>
                <w:bCs/>
              </w:rPr>
              <w:t>.</w:t>
            </w:r>
          </w:p>
          <w:p w14:paraId="105EBE3C" w14:textId="3EB9CE01" w:rsidR="00D76BD5" w:rsidRPr="00FF537E" w:rsidRDefault="00FF537E" w:rsidP="00FF537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 w:rsidRPr="00FF537E">
              <w:rPr>
                <w:bCs/>
              </w:rPr>
              <w:t>Ridd</w:t>
            </w:r>
            <w:r w:rsidR="00845ABE">
              <w:rPr>
                <w:bCs/>
              </w:rPr>
              <w:t>ell</w:t>
            </w:r>
            <w:r>
              <w:rPr>
                <w:bCs/>
              </w:rPr>
              <w:t xml:space="preserve"> building</w:t>
            </w:r>
            <w:r w:rsidR="00D76BD5" w:rsidRPr="00FF537E">
              <w:rPr>
                <w:bCs/>
              </w:rPr>
              <w:t xml:space="preserve"> disposal ongoing</w:t>
            </w:r>
            <w:r w:rsidR="004E644A">
              <w:rPr>
                <w:bCs/>
              </w:rPr>
              <w:t>.</w:t>
            </w:r>
          </w:p>
          <w:p w14:paraId="7F71F648" w14:textId="7920D440" w:rsidR="00D76BD5" w:rsidRPr="00FF537E" w:rsidRDefault="00D76BD5" w:rsidP="00FF537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 w:rsidRPr="00FF537E">
              <w:rPr>
                <w:bCs/>
              </w:rPr>
              <w:t>Sustainable by Nature</w:t>
            </w:r>
            <w:r w:rsidR="004E644A">
              <w:rPr>
                <w:bCs/>
              </w:rPr>
              <w:t xml:space="preserve"> work noted.</w:t>
            </w:r>
          </w:p>
          <w:p w14:paraId="6CCBEAF3" w14:textId="641863A4" w:rsidR="00D76BD5" w:rsidRDefault="00D76BD5" w:rsidP="00FF537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 w:rsidRPr="00FF537E">
              <w:rPr>
                <w:bCs/>
              </w:rPr>
              <w:t>Catering Contract management being taken on by E&amp;FM.</w:t>
            </w:r>
          </w:p>
          <w:p w14:paraId="4879F365" w14:textId="6E4F2CDD" w:rsidR="00845ABE" w:rsidRPr="00FF537E" w:rsidRDefault="00845ABE" w:rsidP="00FF537E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No new risks since the last report and no E&amp;FM related risks on the Corporate Risk Register.</w:t>
            </w:r>
          </w:p>
          <w:p w14:paraId="5E89E207" w14:textId="2FC0E211" w:rsidR="00D76BD5" w:rsidRDefault="00D76BD5" w:rsidP="00386A6C">
            <w:pPr>
              <w:tabs>
                <w:tab w:val="right" w:pos="9026"/>
              </w:tabs>
              <w:rPr>
                <w:bCs/>
              </w:rPr>
            </w:pPr>
          </w:p>
          <w:p w14:paraId="09533454" w14:textId="77777777" w:rsidR="00D76BD5" w:rsidRDefault="00D76BD5" w:rsidP="003D520B">
            <w:pPr>
              <w:tabs>
                <w:tab w:val="right" w:pos="9026"/>
              </w:tabs>
            </w:pPr>
            <w:r>
              <w:t>The Committee</w:t>
            </w:r>
            <w:r w:rsidR="00CA6678">
              <w:t xml:space="preserve"> </w:t>
            </w:r>
            <w:r w:rsidRPr="00A36CC5">
              <w:rPr>
                <w:b/>
                <w:u w:val="single"/>
              </w:rPr>
              <w:t>note</w:t>
            </w:r>
            <w:r w:rsidR="00CA6678">
              <w:rPr>
                <w:b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6B7B0179" w14:textId="12B01CF2" w:rsidR="00DD4B84" w:rsidRPr="00386A6C" w:rsidRDefault="00DD4B84" w:rsidP="003D520B">
            <w:pPr>
              <w:tabs>
                <w:tab w:val="right" w:pos="9026"/>
              </w:tabs>
            </w:pPr>
          </w:p>
        </w:tc>
      </w:tr>
      <w:tr w:rsidR="00D76BD5" w14:paraId="2B857AD6" w14:textId="77777777" w:rsidTr="009E6B4E">
        <w:tc>
          <w:tcPr>
            <w:tcW w:w="526" w:type="pct"/>
          </w:tcPr>
          <w:p w14:paraId="11F7EB53" w14:textId="37E15224" w:rsidR="00D76BD5" w:rsidRDefault="00D76BD5" w:rsidP="003D520B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lastRenderedPageBreak/>
              <w:t>RC57 23/24</w:t>
            </w:r>
            <w:r w:rsidRPr="00DA2BE3">
              <w:rPr>
                <w:b/>
                <w:color w:val="36B4E5" w:themeColor="accent1"/>
              </w:rPr>
              <w:t xml:space="preserve"> </w:t>
            </w:r>
          </w:p>
          <w:p w14:paraId="41A73321" w14:textId="44B7EB3F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4474" w:type="pct"/>
          </w:tcPr>
          <w:p w14:paraId="71FF149A" w14:textId="77777777" w:rsidR="00D76BD5" w:rsidRDefault="00D76BD5" w:rsidP="003D520B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>Any Other Busines</w:t>
            </w:r>
            <w:r>
              <w:rPr>
                <w:b/>
              </w:rPr>
              <w:t>s</w:t>
            </w:r>
          </w:p>
          <w:p w14:paraId="61C658BF" w14:textId="77777777" w:rsidR="00D76BD5" w:rsidRDefault="00D76BD5" w:rsidP="003D520B">
            <w:pPr>
              <w:tabs>
                <w:tab w:val="right" w:pos="9026"/>
              </w:tabs>
              <w:rPr>
                <w:bCs/>
              </w:rPr>
            </w:pPr>
          </w:p>
          <w:p w14:paraId="15107FF3" w14:textId="77777777" w:rsidR="00D76BD5" w:rsidRDefault="00D76BD5" w:rsidP="00DD4B84">
            <w:pPr>
              <w:tabs>
                <w:tab w:val="right" w:pos="9026"/>
              </w:tabs>
              <w:rPr>
                <w:bCs/>
              </w:rPr>
            </w:pPr>
            <w:r w:rsidRPr="000C1813">
              <w:rPr>
                <w:bCs/>
              </w:rPr>
              <w:t>None</w:t>
            </w:r>
            <w:r w:rsidR="00DD4B84">
              <w:rPr>
                <w:bCs/>
              </w:rPr>
              <w:t>.</w:t>
            </w:r>
          </w:p>
          <w:p w14:paraId="466153A7" w14:textId="5CF7449F" w:rsidR="00DD4B84" w:rsidRDefault="00DD4B84" w:rsidP="00DD4B84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D76BD5" w14:paraId="1631011B" w14:textId="77777777" w:rsidTr="009E6B4E">
        <w:tc>
          <w:tcPr>
            <w:tcW w:w="526" w:type="pct"/>
          </w:tcPr>
          <w:p w14:paraId="19F5F701" w14:textId="2A911BA8" w:rsidR="00D76BD5" w:rsidRDefault="00D76BD5" w:rsidP="003D520B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RC58 23/24</w:t>
            </w:r>
          </w:p>
          <w:p w14:paraId="0C1192BF" w14:textId="77777777" w:rsidR="00D76BD5" w:rsidRDefault="00D76BD5" w:rsidP="003D520B">
            <w:pPr>
              <w:rPr>
                <w:b/>
                <w:color w:val="36B4E5" w:themeColor="accent1"/>
              </w:rPr>
            </w:pPr>
          </w:p>
          <w:p w14:paraId="054252DC" w14:textId="03032ADB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4474" w:type="pct"/>
          </w:tcPr>
          <w:p w14:paraId="3BAFDE2C" w14:textId="1D5A8328" w:rsidR="00D76BD5" w:rsidRPr="00236282" w:rsidRDefault="00D76BD5" w:rsidP="00236282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  <w:r w:rsidR="00236282">
              <w:rPr>
                <w:b/>
              </w:rPr>
              <w:t xml:space="preserve">- </w:t>
            </w:r>
            <w:r>
              <w:rPr>
                <w:b/>
              </w:rPr>
              <w:t>Leadership Culture</w:t>
            </w:r>
          </w:p>
          <w:p w14:paraId="5818861F" w14:textId="77777777" w:rsidR="00D76BD5" w:rsidRDefault="00D76BD5" w:rsidP="003D520B">
            <w:pPr>
              <w:tabs>
                <w:tab w:val="right" w:pos="9026"/>
              </w:tabs>
              <w:rPr>
                <w:bCs/>
              </w:rPr>
            </w:pPr>
          </w:p>
          <w:p w14:paraId="7FB8BAA3" w14:textId="76742E0A" w:rsidR="00236282" w:rsidRDefault="00236282" w:rsidP="003D520B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Committee advised the Chair that the meeting</w:t>
            </w:r>
            <w:r w:rsidR="00C046A0">
              <w:rPr>
                <w:bCs/>
              </w:rPr>
              <w:t xml:space="preserve"> met the commitment to the Governing Body Leadership Culture </w:t>
            </w:r>
            <w:r w:rsidR="00C046A0" w:rsidRPr="00C046A0">
              <w:rPr>
                <w:bCs/>
              </w:rPr>
              <w:t>(</w:t>
            </w:r>
            <w:r w:rsidR="00C046A0" w:rsidRPr="00C046A0">
              <w:rPr>
                <w:b/>
              </w:rPr>
              <w:t>RC47 23/24 refers)</w:t>
            </w:r>
          </w:p>
          <w:p w14:paraId="5C71867B" w14:textId="4319E5D0" w:rsidR="00D34E61" w:rsidRPr="00236282" w:rsidRDefault="00D34E61" w:rsidP="003D520B">
            <w:pPr>
              <w:tabs>
                <w:tab w:val="right" w:pos="9026"/>
              </w:tabs>
              <w:rPr>
                <w:bCs/>
              </w:rPr>
            </w:pPr>
          </w:p>
        </w:tc>
      </w:tr>
      <w:tr w:rsidR="00D76BD5" w14:paraId="2021B923" w14:textId="77777777" w:rsidTr="009E6B4E">
        <w:tc>
          <w:tcPr>
            <w:tcW w:w="526" w:type="pct"/>
          </w:tcPr>
          <w:p w14:paraId="0533D948" w14:textId="758C1DAC" w:rsidR="00D76BD5" w:rsidRDefault="00D76BD5" w:rsidP="003D52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RC59 23/24</w:t>
            </w:r>
            <w:r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 </w:t>
            </w:r>
          </w:p>
        </w:tc>
        <w:tc>
          <w:tcPr>
            <w:tcW w:w="4474" w:type="pct"/>
          </w:tcPr>
          <w:p w14:paraId="0CE1C269" w14:textId="642B3743" w:rsidR="00D76BD5" w:rsidRDefault="00D76BD5" w:rsidP="007931D7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Date of next meeting </w:t>
            </w:r>
          </w:p>
          <w:p w14:paraId="68F4016B" w14:textId="77777777" w:rsidR="009E6B4E" w:rsidRDefault="009E6B4E" w:rsidP="007931D7">
            <w:pPr>
              <w:tabs>
                <w:tab w:val="right" w:pos="9026"/>
              </w:tabs>
              <w:rPr>
                <w:b/>
              </w:rPr>
            </w:pPr>
          </w:p>
          <w:p w14:paraId="7E125907" w14:textId="5FAD3C5E" w:rsidR="00D76BD5" w:rsidRDefault="00D76BD5" w:rsidP="007931D7">
            <w:pPr>
              <w:shd w:val="clear" w:color="auto" w:fill="FFFFFF"/>
              <w:spacing w:after="100" w:afterAutospacing="1"/>
              <w:rPr>
                <w:rFonts w:asciiTheme="minorHAnsi" w:eastAsia="Times New Roman" w:hAnsiTheme="minorHAnsi" w:cstheme="minorHAnsi"/>
                <w:color w:val="161B1C"/>
                <w:lang w:eastAsia="en-GB"/>
              </w:rPr>
            </w:pPr>
            <w:r w:rsidRPr="00F0119A">
              <w:rPr>
                <w:rFonts w:asciiTheme="minorHAnsi" w:eastAsia="Times New Roman" w:hAnsiTheme="minorHAnsi" w:cstheme="minorHAnsi"/>
                <w:b/>
                <w:bCs/>
                <w:color w:val="161B1C"/>
                <w:lang w:eastAsia="en-GB"/>
              </w:rPr>
              <w:t>Governance Programme 2024/25 Cycle 1:</w:t>
            </w:r>
            <w:r w:rsidRPr="00F0119A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 xml:space="preserve">  </w:t>
            </w:r>
            <w:r w:rsidRPr="00182377">
              <w:rPr>
                <w:rFonts w:asciiTheme="minorHAnsi" w:eastAsia="Times New Roman" w:hAnsiTheme="minorHAnsi" w:cstheme="minorHAnsi"/>
                <w:lang w:eastAsia="en-GB"/>
              </w:rPr>
              <w:t>The </w:t>
            </w:r>
            <w:r w:rsidRPr="00182377">
              <w:rPr>
                <w:rFonts w:asciiTheme="minorHAnsi" w:eastAsia="Times New Roman" w:hAnsiTheme="minorHAnsi" w:cstheme="minorHAnsi"/>
                <w:u w:val="single"/>
                <w:lang w:eastAsia="en-GB"/>
              </w:rPr>
              <w:t>first</w:t>
            </w:r>
            <w:r w:rsidRPr="00182377">
              <w:rPr>
                <w:rFonts w:asciiTheme="minorHAnsi" w:eastAsia="Times New Roman" w:hAnsiTheme="minorHAnsi" w:cstheme="minorHAnsi"/>
                <w:lang w:eastAsia="en-GB"/>
              </w:rPr>
              <w:t xml:space="preserve"> meeting of the Resources Committee in 2024/25 is scheduled to be held at 4.00pm on Wednesday 11 September 2024 at the Titanic Quarter Boardroom and via Microsoft Teams. </w:t>
            </w:r>
          </w:p>
          <w:p w14:paraId="312340CD" w14:textId="15219C92" w:rsidR="00537507" w:rsidRPr="00B76DAB" w:rsidRDefault="00D76BD5" w:rsidP="00DB753F">
            <w:pPr>
              <w:shd w:val="clear" w:color="auto" w:fill="FFFFFF"/>
              <w:spacing w:after="100" w:afterAutospacing="1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The meeting ended at 5.30pm</w:t>
            </w:r>
            <w:r w:rsidR="009E6B4E">
              <w:rPr>
                <w:rStyle w:val="normaltextrun"/>
                <w:rFonts w:cs="Calibri"/>
                <w:color w:val="000000"/>
                <w:shd w:val="clear" w:color="auto" w:fill="FFFFFF"/>
              </w:rPr>
              <w:t>.</w:t>
            </w:r>
          </w:p>
        </w:tc>
      </w:tr>
    </w:tbl>
    <w:p w14:paraId="327848A7" w14:textId="77777777" w:rsidR="003D520B" w:rsidRDefault="003D520B"/>
    <w:tbl>
      <w:tblPr>
        <w:tblStyle w:val="TableGrid"/>
        <w:tblW w:w="4511" w:type="pct"/>
        <w:jc w:val="center"/>
        <w:tblLook w:val="04A0" w:firstRow="1" w:lastRow="0" w:firstColumn="1" w:lastColumn="0" w:noHBand="0" w:noVBand="1"/>
      </w:tblPr>
      <w:tblGrid>
        <w:gridCol w:w="4271"/>
        <w:gridCol w:w="4513"/>
      </w:tblGrid>
      <w:tr w:rsidR="001B39E0" w14:paraId="12F746CD" w14:textId="77777777" w:rsidTr="001C4A7E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4A6AFE" w14:textId="72B70F52" w:rsidR="001B39E0" w:rsidRDefault="001B39E0" w:rsidP="00BC42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Governing Body Attendance Report and Governing Body Member Assessment 2023/24</w:t>
            </w:r>
          </w:p>
        </w:tc>
      </w:tr>
      <w:tr w:rsidR="001B39E0" w14:paraId="1A92DB19" w14:textId="77777777" w:rsidTr="001C4A7E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63E69D" w14:textId="13AE0427" w:rsidR="001B39E0" w:rsidRDefault="001B39E0" w:rsidP="00BC42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Participation at </w:t>
            </w:r>
            <w:r w:rsidRPr="00AA2B30">
              <w:rPr>
                <w:rFonts w:cstheme="minorHAnsi"/>
                <w:b/>
                <w:bCs/>
                <w:color w:val="188DBB" w:themeColor="accent1" w:themeShade="BF"/>
              </w:rPr>
              <w:t>R</w:t>
            </w:r>
            <w:r w:rsidR="00D1356B">
              <w:rPr>
                <w:rFonts w:cstheme="minorHAnsi"/>
                <w:b/>
                <w:bCs/>
                <w:color w:val="188DBB" w:themeColor="accent1" w:themeShade="BF"/>
              </w:rPr>
              <w:t>C</w:t>
            </w:r>
            <w:r w:rsidR="00836E1A">
              <w:rPr>
                <w:rFonts w:cstheme="minorHAnsi"/>
                <w:b/>
                <w:bCs/>
                <w:color w:val="188DBB" w:themeColor="accent1" w:themeShade="BF"/>
              </w:rPr>
              <w:t>4</w:t>
            </w:r>
            <w:r w:rsidR="00D1356B">
              <w:rPr>
                <w:rFonts w:cstheme="minorHAnsi"/>
                <w:b/>
                <w:bCs/>
                <w:color w:val="188DBB" w:themeColor="accent1" w:themeShade="BF"/>
              </w:rPr>
              <w:t>7</w:t>
            </w:r>
            <w:r>
              <w:rPr>
                <w:rFonts w:cstheme="minorHAnsi"/>
                <w:b/>
                <w:bCs/>
                <w:color w:val="188DBB" w:themeColor="accent1" w:themeShade="BF"/>
              </w:rPr>
              <w:t xml:space="preserve"> </w:t>
            </w:r>
            <w:r w:rsidRPr="00AA2B30">
              <w:rPr>
                <w:rFonts w:cstheme="minorHAnsi"/>
                <w:b/>
                <w:bCs/>
                <w:color w:val="188DBB" w:themeColor="accent1" w:themeShade="BF"/>
              </w:rPr>
              <w:t>2</w:t>
            </w:r>
            <w:r>
              <w:rPr>
                <w:rFonts w:cstheme="minorHAnsi"/>
                <w:b/>
                <w:bCs/>
                <w:color w:val="188DBB" w:themeColor="accent1" w:themeShade="BF"/>
              </w:rPr>
              <w:t>3</w:t>
            </w:r>
            <w:r w:rsidRPr="00AA2B30">
              <w:rPr>
                <w:rFonts w:cstheme="minorHAnsi"/>
                <w:b/>
                <w:bCs/>
                <w:color w:val="188DBB" w:themeColor="accent1" w:themeShade="BF"/>
              </w:rPr>
              <w:t>/2</w:t>
            </w:r>
            <w:r>
              <w:rPr>
                <w:rFonts w:cstheme="minorHAnsi"/>
                <w:b/>
                <w:bCs/>
                <w:color w:val="188DBB" w:themeColor="accent1" w:themeShade="BF"/>
              </w:rPr>
              <w:t>4</w:t>
            </w:r>
            <w:r w:rsidRPr="00AA2B30">
              <w:rPr>
                <w:rFonts w:cstheme="minorHAnsi"/>
                <w:b/>
                <w:bCs/>
                <w:color w:val="188DBB" w:themeColor="accent1" w:themeShade="BF"/>
              </w:rPr>
              <w:t xml:space="preserve"> Resources Committee </w:t>
            </w:r>
            <w:r w:rsidRPr="00AA2B30">
              <w:rPr>
                <w:rFonts w:cstheme="minorHAnsi"/>
                <w:b/>
                <w:bCs/>
              </w:rPr>
              <w:t>Meetin</w:t>
            </w:r>
            <w:r>
              <w:rPr>
                <w:rFonts w:cstheme="minorHAnsi"/>
                <w:b/>
                <w:bCs/>
              </w:rPr>
              <w:t>g held</w:t>
            </w:r>
            <w:r w:rsidR="00CE5847">
              <w:rPr>
                <w:rFonts w:cstheme="minorHAnsi"/>
                <w:b/>
                <w:bCs/>
              </w:rPr>
              <w:t xml:space="preserve"> 5 June 2024</w:t>
            </w:r>
          </w:p>
        </w:tc>
      </w:tr>
      <w:tr w:rsidR="001B39E0" w14:paraId="21983072" w14:textId="77777777" w:rsidTr="001C4A7E">
        <w:trPr>
          <w:tblHeader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BFB31" w14:textId="77777777" w:rsidR="001B39E0" w:rsidRDefault="001B39E0" w:rsidP="00BC42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In-person at Seminar Room e3 Springvale Campus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0479E" w14:textId="77777777" w:rsidR="001B39E0" w:rsidRDefault="001B39E0" w:rsidP="00BC42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via MS Teams</w:t>
            </w:r>
          </w:p>
        </w:tc>
      </w:tr>
      <w:tr w:rsidR="001B39E0" w14:paraId="533C3358" w14:textId="77777777" w:rsidTr="001C4A7E">
        <w:trPr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A28" w14:textId="7B5F6093" w:rsidR="001B39E0" w:rsidRDefault="00C21A54" w:rsidP="00BC42E3">
            <w:pPr>
              <w:rPr>
                <w:rFonts w:cstheme="minorHAnsi"/>
              </w:rPr>
            </w:pPr>
            <w:r>
              <w:rPr>
                <w:rFonts w:cstheme="minorHAnsi"/>
              </w:rPr>
              <w:t>Seamus Dawson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B14" w14:textId="129A0234" w:rsidR="001B39E0" w:rsidRDefault="00C21A54" w:rsidP="00BC42E3">
            <w:pPr>
              <w:rPr>
                <w:rFonts w:cstheme="minorHAnsi"/>
              </w:rPr>
            </w:pPr>
            <w:r>
              <w:rPr>
                <w:rFonts w:cstheme="minorHAnsi"/>
              </w:rPr>
              <w:t>Yvonne Murphy</w:t>
            </w:r>
          </w:p>
        </w:tc>
      </w:tr>
      <w:tr w:rsidR="001B39E0" w14:paraId="24ED846F" w14:textId="77777777" w:rsidTr="001C4A7E">
        <w:trPr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228" w14:textId="3DB031F2" w:rsidR="001B39E0" w:rsidRDefault="00050ACB" w:rsidP="00BC42E3">
            <w:pPr>
              <w:rPr>
                <w:rFonts w:cstheme="minorHAnsi"/>
              </w:rPr>
            </w:pPr>
            <w:r>
              <w:rPr>
                <w:rFonts w:cstheme="minorHAnsi"/>
              </w:rPr>
              <w:t>Lauren McAteer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48B" w14:textId="3BBE6406" w:rsidR="001B39E0" w:rsidRDefault="00C21A54" w:rsidP="00BC42E3">
            <w:pPr>
              <w:rPr>
                <w:rFonts w:cstheme="minorHAnsi"/>
              </w:rPr>
            </w:pPr>
            <w:r>
              <w:rPr>
                <w:rFonts w:cstheme="minorHAnsi"/>
              </w:rPr>
              <w:t>Janis Leaden</w:t>
            </w:r>
          </w:p>
        </w:tc>
      </w:tr>
      <w:tr w:rsidR="001B39E0" w14:paraId="6DDEBCF4" w14:textId="77777777" w:rsidTr="001C4A7E">
        <w:trPr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B4B" w14:textId="476AFAC9" w:rsidR="001B39E0" w:rsidRDefault="00050ACB" w:rsidP="00BC42E3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McKernan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556" w14:textId="77777777" w:rsidR="001B39E0" w:rsidRDefault="001B39E0" w:rsidP="00BC42E3">
            <w:pPr>
              <w:rPr>
                <w:rFonts w:cstheme="minorHAnsi"/>
              </w:rPr>
            </w:pPr>
          </w:p>
        </w:tc>
      </w:tr>
      <w:tr w:rsidR="001B39E0" w14:paraId="75E086D6" w14:textId="77777777" w:rsidTr="001C4A7E">
        <w:trPr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F3E" w14:textId="62320A8F" w:rsidR="001B39E0" w:rsidRDefault="00050ACB" w:rsidP="00BC42E3">
            <w:pPr>
              <w:rPr>
                <w:rFonts w:cstheme="minorHAnsi"/>
              </w:rPr>
            </w:pPr>
            <w:r>
              <w:rPr>
                <w:rFonts w:cstheme="minorHAnsi"/>
              </w:rPr>
              <w:t>Tom Hesketh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814" w14:textId="77777777" w:rsidR="001B39E0" w:rsidRDefault="001B39E0" w:rsidP="00BC42E3">
            <w:pPr>
              <w:rPr>
                <w:rFonts w:cstheme="minorHAnsi"/>
              </w:rPr>
            </w:pPr>
          </w:p>
        </w:tc>
      </w:tr>
      <w:tr w:rsidR="001B39E0" w14:paraId="2E5A1D38" w14:textId="77777777" w:rsidTr="001C4A7E">
        <w:trPr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C33" w14:textId="6EF05005" w:rsidR="001B39E0" w:rsidRDefault="00050ACB" w:rsidP="00BC42E3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Mearns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F20" w14:textId="77777777" w:rsidR="001B39E0" w:rsidRDefault="001B39E0" w:rsidP="00BC42E3">
            <w:pPr>
              <w:rPr>
                <w:rFonts w:cstheme="minorHAnsi"/>
              </w:rPr>
            </w:pPr>
          </w:p>
        </w:tc>
      </w:tr>
    </w:tbl>
    <w:p w14:paraId="29E17A47" w14:textId="77777777" w:rsidR="00B13426" w:rsidRDefault="00B13426"/>
    <w:p w14:paraId="3D5D7BCF" w14:textId="77777777" w:rsidR="00261A9C" w:rsidRDefault="00261A9C" w:rsidP="00B13426">
      <w:pPr>
        <w:tabs>
          <w:tab w:val="right" w:pos="9026"/>
        </w:tabs>
        <w:rPr>
          <w:b/>
          <w:bCs/>
        </w:rPr>
      </w:pPr>
    </w:p>
    <w:p w14:paraId="28857873" w14:textId="453C823F" w:rsidR="00B13426" w:rsidRPr="00805EBC" w:rsidRDefault="00B13426" w:rsidP="00B13426">
      <w:pPr>
        <w:tabs>
          <w:tab w:val="right" w:pos="9026"/>
        </w:tabs>
        <w:rPr>
          <w:b/>
          <w:bCs/>
        </w:rPr>
      </w:pPr>
      <w:r w:rsidRPr="00805EBC">
        <w:rPr>
          <w:b/>
          <w:bCs/>
        </w:rPr>
        <w:t>Seamus Dawson</w:t>
      </w:r>
    </w:p>
    <w:p w14:paraId="236A8C46" w14:textId="77777777" w:rsidR="00B13426" w:rsidRDefault="00B13426" w:rsidP="00B13426">
      <w:pPr>
        <w:tabs>
          <w:tab w:val="right" w:pos="9026"/>
        </w:tabs>
        <w:rPr>
          <w:b/>
          <w:bCs/>
        </w:rPr>
      </w:pPr>
      <w:r w:rsidRPr="00805EBC">
        <w:rPr>
          <w:b/>
          <w:bCs/>
        </w:rPr>
        <w:t>Chair of Governing Body Resources Committee</w:t>
      </w:r>
    </w:p>
    <w:p w14:paraId="2478A575" w14:textId="77777777" w:rsidR="00B13426" w:rsidRDefault="00B13426" w:rsidP="00B13426">
      <w:pPr>
        <w:tabs>
          <w:tab w:val="right" w:pos="9026"/>
        </w:tabs>
        <w:rPr>
          <w:b/>
          <w:bCs/>
        </w:rPr>
      </w:pPr>
    </w:p>
    <w:p w14:paraId="43703F7D" w14:textId="77777777" w:rsidR="00B13426" w:rsidRDefault="00B13426" w:rsidP="00B13426">
      <w:pPr>
        <w:tabs>
          <w:tab w:val="right" w:pos="9026"/>
        </w:tabs>
        <w:rPr>
          <w:b/>
          <w:bCs/>
        </w:rPr>
      </w:pPr>
    </w:p>
    <w:p w14:paraId="596C3DA3" w14:textId="4B10ED25" w:rsidR="00B13426" w:rsidRDefault="00B13426" w:rsidP="00B13426">
      <w:pPr>
        <w:tabs>
          <w:tab w:val="right" w:pos="9026"/>
        </w:tabs>
      </w:pPr>
      <w:r>
        <w:rPr>
          <w:b/>
          <w:bCs/>
        </w:rPr>
        <w:t>Signature                                                                                                          Date</w:t>
      </w:r>
    </w:p>
    <w:sectPr w:rsidR="00B13426" w:rsidSect="00B21F1A">
      <w:headerReference w:type="default" r:id="rId12"/>
      <w:footerReference w:type="default" r:id="rId13"/>
      <w:pgSz w:w="11906" w:h="16838"/>
      <w:pgMar w:top="1440" w:right="1080" w:bottom="1440" w:left="108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A75C" w14:textId="77777777" w:rsidR="00036FEE" w:rsidRDefault="00036FEE" w:rsidP="0046542E">
      <w:pPr>
        <w:spacing w:after="0" w:line="240" w:lineRule="auto"/>
      </w:pPr>
      <w:r>
        <w:separator/>
      </w:r>
    </w:p>
  </w:endnote>
  <w:endnote w:type="continuationSeparator" w:id="0">
    <w:p w14:paraId="3ADE44A3" w14:textId="77777777" w:rsidR="00036FEE" w:rsidRDefault="00036FEE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500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801704" w14:textId="28C9DC4F" w:rsidR="00AA323B" w:rsidRPr="00DD3C86" w:rsidRDefault="00AA323B">
            <w:pPr>
              <w:pStyle w:val="Footer"/>
              <w:rPr>
                <w:b/>
                <w:bCs/>
              </w:rPr>
            </w:pPr>
            <w:r w:rsidRPr="007A3BE5">
              <w:t xml:space="preserve">Page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PAGE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2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t xml:space="preserve"> of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NUMPAGES 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3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rPr>
                <w:b/>
                <w:bCs/>
              </w:rPr>
              <w:t xml:space="preserve">  </w:t>
            </w:r>
            <w:r w:rsidR="00DA2BE3" w:rsidRPr="007A3BE5">
              <w:rPr>
                <w:b/>
                <w:bCs/>
                <w:color w:val="36B4E5" w:themeColor="accent1"/>
              </w:rPr>
              <w:t>R</w:t>
            </w:r>
            <w:r w:rsidR="007931D7">
              <w:rPr>
                <w:b/>
                <w:bCs/>
                <w:color w:val="36B4E5" w:themeColor="accent1"/>
              </w:rPr>
              <w:t>C</w:t>
            </w:r>
            <w:r w:rsidR="00ED127B">
              <w:rPr>
                <w:b/>
                <w:bCs/>
                <w:color w:val="36B4E5" w:themeColor="accent1"/>
              </w:rPr>
              <w:t>02</w:t>
            </w:r>
            <w:r w:rsidR="000533A7" w:rsidRPr="007A3BE5">
              <w:rPr>
                <w:b/>
                <w:bCs/>
                <w:color w:val="36B4E5" w:themeColor="accent1"/>
              </w:rPr>
              <w:t xml:space="preserve"> </w:t>
            </w:r>
            <w:r w:rsidR="0097460B" w:rsidRPr="007A3BE5">
              <w:rPr>
                <w:b/>
                <w:bCs/>
                <w:color w:val="36B4E5" w:themeColor="accent1"/>
              </w:rPr>
              <w:t>2</w:t>
            </w:r>
            <w:r w:rsidR="00ED127B">
              <w:rPr>
                <w:b/>
                <w:bCs/>
                <w:color w:val="36B4E5" w:themeColor="accent1"/>
              </w:rPr>
              <w:t>4</w:t>
            </w:r>
            <w:r w:rsidR="0097460B" w:rsidRPr="007A3BE5">
              <w:rPr>
                <w:b/>
                <w:bCs/>
                <w:color w:val="36B4E5" w:themeColor="accent1"/>
              </w:rPr>
              <w:t>/2</w:t>
            </w:r>
            <w:r w:rsidR="00ED127B">
              <w:rPr>
                <w:b/>
                <w:bCs/>
                <w:color w:val="36B4E5" w:themeColor="accent1"/>
              </w:rPr>
              <w:t>5</w:t>
            </w:r>
            <w:r w:rsidRPr="007A3BE5">
              <w:rPr>
                <w:b/>
                <w:bCs/>
                <w:color w:val="36B4E5" w:themeColor="accent1"/>
              </w:rPr>
              <w:t xml:space="preserve"> </w:t>
            </w:r>
            <w:r w:rsidR="00DD3C86">
              <w:rPr>
                <w:b/>
                <w:bCs/>
              </w:rPr>
              <w:t>Resources Committee m</w:t>
            </w:r>
            <w:r w:rsidR="00B243DB" w:rsidRPr="007A3BE5">
              <w:rPr>
                <w:b/>
                <w:bCs/>
              </w:rPr>
              <w:t xml:space="preserve">eeting </w:t>
            </w:r>
            <w:r w:rsidR="00663785">
              <w:rPr>
                <w:b/>
                <w:bCs/>
              </w:rPr>
              <w:t xml:space="preserve">5 June </w:t>
            </w:r>
            <w:r w:rsidR="0028506A">
              <w:rPr>
                <w:b/>
                <w:bCs/>
              </w:rPr>
              <w:t>202</w:t>
            </w:r>
            <w:r w:rsidR="003A34FD">
              <w:rPr>
                <w:b/>
                <w:bCs/>
              </w:rPr>
              <w:t>4</w:t>
            </w:r>
            <w:r w:rsidR="00692228">
              <w:rPr>
                <w:b/>
                <w:bCs/>
              </w:rPr>
              <w:t xml:space="preserve"> </w:t>
            </w:r>
            <w:r w:rsidR="00182377">
              <w:rPr>
                <w:rFonts w:cs="Arial"/>
                <w:b/>
              </w:rPr>
              <w:t xml:space="preserve">Minutes </w:t>
            </w:r>
            <w:r w:rsidR="00182377">
              <w:rPr>
                <w:rFonts w:cs="Arial"/>
                <w:b/>
                <w:color w:val="FF0000"/>
              </w:rPr>
              <w:t>(</w:t>
            </w:r>
            <w:r w:rsidR="00156546">
              <w:rPr>
                <w:rFonts w:cs="Arial"/>
                <w:b/>
                <w:color w:val="FF0000"/>
              </w:rPr>
              <w:t>Approved 5 September</w:t>
            </w:r>
            <w:r w:rsidR="00ED127B">
              <w:rPr>
                <w:rFonts w:cs="Arial"/>
                <w:b/>
                <w:color w:val="FF0000"/>
              </w:rPr>
              <w:t xml:space="preserve"> </w:t>
            </w:r>
            <w:r w:rsidR="00182377">
              <w:rPr>
                <w:rFonts w:cs="Arial"/>
                <w:b/>
                <w:color w:val="FF0000"/>
              </w:rPr>
              <w:t>2024)</w:t>
            </w:r>
          </w:p>
        </w:sdtContent>
      </w:sdt>
    </w:sdtContent>
  </w:sdt>
  <w:p w14:paraId="21FFE333" w14:textId="77777777" w:rsidR="0046542E" w:rsidRPr="00F1640D" w:rsidRDefault="0046542E" w:rsidP="00F1640D">
    <w:pPr>
      <w:pStyle w:val="Footer"/>
      <w:pBdr>
        <w:top w:val="single" w:sz="4" w:space="1" w:color="D9D9D9" w:themeColor="background1" w:themeShade="D9"/>
      </w:pBdr>
      <w:jc w:val="right"/>
      <w:rPr>
        <w:rFonts w:ascii="Helvetica 45 Light" w:hAnsi="Helvetica 45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3559" w14:textId="77777777" w:rsidR="00036FEE" w:rsidRDefault="00036FEE" w:rsidP="0046542E">
      <w:pPr>
        <w:spacing w:after="0" w:line="240" w:lineRule="auto"/>
      </w:pPr>
      <w:r>
        <w:separator/>
      </w:r>
    </w:p>
  </w:footnote>
  <w:footnote w:type="continuationSeparator" w:id="0">
    <w:p w14:paraId="2259E8B1" w14:textId="77777777" w:rsidR="00036FEE" w:rsidRDefault="00036FEE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FA16" w14:textId="1D4BCA49" w:rsidR="00BE045A" w:rsidRPr="00BE045A" w:rsidRDefault="00BE045A">
    <w:pPr>
      <w:pStyle w:val="Header"/>
      <w:rPr>
        <w:color w:val="36B4E5" w:themeColor="accent1"/>
        <w:sz w:val="16"/>
        <w:szCs w:val="16"/>
      </w:rPr>
    </w:pPr>
    <w:r w:rsidRPr="00BE045A">
      <w:rPr>
        <w:noProof/>
        <w:color w:val="36B4E5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9DADA7D" wp14:editId="3BFCD3B0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188DBB" w:themeColor="accent1" w:themeShade="BF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7E19463" w14:textId="77777777" w:rsidR="00BE045A" w:rsidRPr="00BE045A" w:rsidRDefault="002B0353">
                              <w:pPr>
                                <w:pStyle w:val="Header"/>
                                <w:jc w:val="center"/>
                                <w:rPr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  <w:t>Belfast Metropolitan College Resources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DADA7D" id="Rectangle 197" o:spid="_x0000_s1028" style="position:absolute;margin-left:417.3pt;margin-top:22.85pt;width:468.5pt;height:21.3pt;z-index:-251659264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188DBB" w:themeColor="accent1" w:themeShade="BF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7E19463" w14:textId="77777777" w:rsidR="00BE045A" w:rsidRPr="00BE045A" w:rsidRDefault="002B0353">
                        <w:pPr>
                          <w:pStyle w:val="Header"/>
                          <w:jc w:val="center"/>
                          <w:rPr>
                            <w:color w:val="188DBB" w:themeColor="accent1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188DBB" w:themeColor="accent1" w:themeShade="BF"/>
                            <w:sz w:val="20"/>
                            <w:szCs w:val="20"/>
                          </w:rPr>
                          <w:t>Belfast Metropolitan College Resources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C1"/>
    <w:multiLevelType w:val="hybridMultilevel"/>
    <w:tmpl w:val="299C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2BB"/>
    <w:multiLevelType w:val="hybridMultilevel"/>
    <w:tmpl w:val="D754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012A"/>
    <w:multiLevelType w:val="hybridMultilevel"/>
    <w:tmpl w:val="A776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06F4"/>
    <w:multiLevelType w:val="hybridMultilevel"/>
    <w:tmpl w:val="B55AE2B0"/>
    <w:lvl w:ilvl="0" w:tplc="A3F096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3E55"/>
    <w:multiLevelType w:val="hybridMultilevel"/>
    <w:tmpl w:val="564C0FF0"/>
    <w:lvl w:ilvl="0" w:tplc="77988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E2F"/>
    <w:multiLevelType w:val="hybridMultilevel"/>
    <w:tmpl w:val="FD94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C4DEC"/>
    <w:multiLevelType w:val="hybridMultilevel"/>
    <w:tmpl w:val="1BEA53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5FB5"/>
    <w:multiLevelType w:val="hybridMultilevel"/>
    <w:tmpl w:val="3FCCC2DC"/>
    <w:lvl w:ilvl="0" w:tplc="05D8B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C0683"/>
    <w:multiLevelType w:val="hybridMultilevel"/>
    <w:tmpl w:val="8B6C2D88"/>
    <w:lvl w:ilvl="0" w:tplc="D7EE4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62A28"/>
    <w:multiLevelType w:val="hybridMultilevel"/>
    <w:tmpl w:val="0C266656"/>
    <w:lvl w:ilvl="0" w:tplc="EC9000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425A0"/>
    <w:multiLevelType w:val="hybridMultilevel"/>
    <w:tmpl w:val="CE6A4D88"/>
    <w:lvl w:ilvl="0" w:tplc="6AAE2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5A"/>
    <w:multiLevelType w:val="hybridMultilevel"/>
    <w:tmpl w:val="8D266CAA"/>
    <w:lvl w:ilvl="0" w:tplc="66B0F8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D0315"/>
    <w:multiLevelType w:val="hybridMultilevel"/>
    <w:tmpl w:val="B7B8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55612"/>
    <w:multiLevelType w:val="hybridMultilevel"/>
    <w:tmpl w:val="8302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A654C"/>
    <w:multiLevelType w:val="hybridMultilevel"/>
    <w:tmpl w:val="7924C8BE"/>
    <w:lvl w:ilvl="0" w:tplc="AADC4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65544">
    <w:abstractNumId w:val="6"/>
  </w:num>
  <w:num w:numId="2" w16cid:durableId="996882417">
    <w:abstractNumId w:val="2"/>
  </w:num>
  <w:num w:numId="3" w16cid:durableId="1010832968">
    <w:abstractNumId w:val="10"/>
  </w:num>
  <w:num w:numId="4" w16cid:durableId="474446025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099213456">
    <w:abstractNumId w:val="4"/>
  </w:num>
  <w:num w:numId="6" w16cid:durableId="616912124">
    <w:abstractNumId w:val="8"/>
  </w:num>
  <w:num w:numId="7" w16cid:durableId="334462596">
    <w:abstractNumId w:val="12"/>
  </w:num>
  <w:num w:numId="8" w16cid:durableId="471799230">
    <w:abstractNumId w:val="13"/>
  </w:num>
  <w:num w:numId="9" w16cid:durableId="924457512">
    <w:abstractNumId w:val="3"/>
  </w:num>
  <w:num w:numId="10" w16cid:durableId="1658999876">
    <w:abstractNumId w:val="9"/>
  </w:num>
  <w:num w:numId="11" w16cid:durableId="1461269257">
    <w:abstractNumId w:val="1"/>
  </w:num>
  <w:num w:numId="12" w16cid:durableId="408773792">
    <w:abstractNumId w:val="7"/>
  </w:num>
  <w:num w:numId="13" w16cid:durableId="1393211">
    <w:abstractNumId w:val="11"/>
  </w:num>
  <w:num w:numId="14" w16cid:durableId="473178464">
    <w:abstractNumId w:val="17"/>
  </w:num>
  <w:num w:numId="15" w16cid:durableId="529027631">
    <w:abstractNumId w:val="5"/>
  </w:num>
  <w:num w:numId="16" w16cid:durableId="1171915391">
    <w:abstractNumId w:val="0"/>
  </w:num>
  <w:num w:numId="17" w16cid:durableId="1750275875">
    <w:abstractNumId w:val="15"/>
  </w:num>
  <w:num w:numId="18" w16cid:durableId="72425503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003A"/>
    <w:rsid w:val="00002216"/>
    <w:rsid w:val="00003B62"/>
    <w:rsid w:val="00004332"/>
    <w:rsid w:val="000107F6"/>
    <w:rsid w:val="000117C9"/>
    <w:rsid w:val="00012091"/>
    <w:rsid w:val="000160C2"/>
    <w:rsid w:val="00016D43"/>
    <w:rsid w:val="00024707"/>
    <w:rsid w:val="00026136"/>
    <w:rsid w:val="00027685"/>
    <w:rsid w:val="000307C5"/>
    <w:rsid w:val="000341FA"/>
    <w:rsid w:val="00035245"/>
    <w:rsid w:val="00036FEE"/>
    <w:rsid w:val="0004402B"/>
    <w:rsid w:val="00050491"/>
    <w:rsid w:val="00050ACB"/>
    <w:rsid w:val="00052AC3"/>
    <w:rsid w:val="000533A7"/>
    <w:rsid w:val="000561A3"/>
    <w:rsid w:val="000604C3"/>
    <w:rsid w:val="000606C4"/>
    <w:rsid w:val="00062CF1"/>
    <w:rsid w:val="00064817"/>
    <w:rsid w:val="00067700"/>
    <w:rsid w:val="00075F9C"/>
    <w:rsid w:val="00082463"/>
    <w:rsid w:val="000844B7"/>
    <w:rsid w:val="00087624"/>
    <w:rsid w:val="00091BF3"/>
    <w:rsid w:val="000972AB"/>
    <w:rsid w:val="000A0323"/>
    <w:rsid w:val="000A1A5F"/>
    <w:rsid w:val="000A6B73"/>
    <w:rsid w:val="000A753B"/>
    <w:rsid w:val="000C1813"/>
    <w:rsid w:val="000C2C0A"/>
    <w:rsid w:val="000C330E"/>
    <w:rsid w:val="000C4C0A"/>
    <w:rsid w:val="000C744D"/>
    <w:rsid w:val="000D1DDC"/>
    <w:rsid w:val="000D2440"/>
    <w:rsid w:val="000D52BD"/>
    <w:rsid w:val="000D5502"/>
    <w:rsid w:val="000D6077"/>
    <w:rsid w:val="000D78F9"/>
    <w:rsid w:val="000E175C"/>
    <w:rsid w:val="000E189D"/>
    <w:rsid w:val="000E261D"/>
    <w:rsid w:val="000F448A"/>
    <w:rsid w:val="000F4961"/>
    <w:rsid w:val="000F5386"/>
    <w:rsid w:val="00100D74"/>
    <w:rsid w:val="00106F5F"/>
    <w:rsid w:val="00107328"/>
    <w:rsid w:val="00107733"/>
    <w:rsid w:val="001154B5"/>
    <w:rsid w:val="00115E44"/>
    <w:rsid w:val="00116297"/>
    <w:rsid w:val="00117493"/>
    <w:rsid w:val="00120E47"/>
    <w:rsid w:val="00127264"/>
    <w:rsid w:val="00135E74"/>
    <w:rsid w:val="00143C05"/>
    <w:rsid w:val="0014620D"/>
    <w:rsid w:val="00155440"/>
    <w:rsid w:val="00156546"/>
    <w:rsid w:val="0015656F"/>
    <w:rsid w:val="00157267"/>
    <w:rsid w:val="00157489"/>
    <w:rsid w:val="00172A06"/>
    <w:rsid w:val="00173561"/>
    <w:rsid w:val="00175AF8"/>
    <w:rsid w:val="00181F97"/>
    <w:rsid w:val="00182377"/>
    <w:rsid w:val="001A0D83"/>
    <w:rsid w:val="001A3CA8"/>
    <w:rsid w:val="001B2E9D"/>
    <w:rsid w:val="001B39E0"/>
    <w:rsid w:val="001B6CF8"/>
    <w:rsid w:val="001C1A15"/>
    <w:rsid w:val="001C39DF"/>
    <w:rsid w:val="001C4A7E"/>
    <w:rsid w:val="001C4C6D"/>
    <w:rsid w:val="001C671A"/>
    <w:rsid w:val="001D2D44"/>
    <w:rsid w:val="001D3427"/>
    <w:rsid w:val="001D70FA"/>
    <w:rsid w:val="001E1288"/>
    <w:rsid w:val="001E563F"/>
    <w:rsid w:val="001E7171"/>
    <w:rsid w:val="001E79DB"/>
    <w:rsid w:val="001F06FD"/>
    <w:rsid w:val="001F4BEF"/>
    <w:rsid w:val="001F73D6"/>
    <w:rsid w:val="001F7915"/>
    <w:rsid w:val="00211A5A"/>
    <w:rsid w:val="00211E51"/>
    <w:rsid w:val="0021575A"/>
    <w:rsid w:val="002225CB"/>
    <w:rsid w:val="00226BC3"/>
    <w:rsid w:val="0023325C"/>
    <w:rsid w:val="00236282"/>
    <w:rsid w:val="002406B8"/>
    <w:rsid w:val="00240DF4"/>
    <w:rsid w:val="00245264"/>
    <w:rsid w:val="002456A2"/>
    <w:rsid w:val="00254137"/>
    <w:rsid w:val="00254432"/>
    <w:rsid w:val="00261A9C"/>
    <w:rsid w:val="00267C97"/>
    <w:rsid w:val="00272469"/>
    <w:rsid w:val="00273306"/>
    <w:rsid w:val="00274875"/>
    <w:rsid w:val="0028506A"/>
    <w:rsid w:val="002864E3"/>
    <w:rsid w:val="0028760A"/>
    <w:rsid w:val="00291DA8"/>
    <w:rsid w:val="002950F7"/>
    <w:rsid w:val="00296472"/>
    <w:rsid w:val="00297A2A"/>
    <w:rsid w:val="00297A42"/>
    <w:rsid w:val="002A5C0C"/>
    <w:rsid w:val="002B0353"/>
    <w:rsid w:val="002B0F09"/>
    <w:rsid w:val="002B2B75"/>
    <w:rsid w:val="002B3EC8"/>
    <w:rsid w:val="002C1A23"/>
    <w:rsid w:val="002C1D26"/>
    <w:rsid w:val="002C335D"/>
    <w:rsid w:val="002C500D"/>
    <w:rsid w:val="002C5B90"/>
    <w:rsid w:val="002D7452"/>
    <w:rsid w:val="002E02DF"/>
    <w:rsid w:val="002E4007"/>
    <w:rsid w:val="002F1BFC"/>
    <w:rsid w:val="002F2128"/>
    <w:rsid w:val="002F38D3"/>
    <w:rsid w:val="002F5052"/>
    <w:rsid w:val="002F519D"/>
    <w:rsid w:val="002F5238"/>
    <w:rsid w:val="00303AAB"/>
    <w:rsid w:val="00305595"/>
    <w:rsid w:val="003056B2"/>
    <w:rsid w:val="0030588A"/>
    <w:rsid w:val="00305A84"/>
    <w:rsid w:val="00307FD3"/>
    <w:rsid w:val="003177F7"/>
    <w:rsid w:val="003179E0"/>
    <w:rsid w:val="003237D0"/>
    <w:rsid w:val="003310CF"/>
    <w:rsid w:val="00336505"/>
    <w:rsid w:val="003365A3"/>
    <w:rsid w:val="00344D58"/>
    <w:rsid w:val="00344F52"/>
    <w:rsid w:val="00351169"/>
    <w:rsid w:val="00354E89"/>
    <w:rsid w:val="0035728E"/>
    <w:rsid w:val="00360129"/>
    <w:rsid w:val="003603DE"/>
    <w:rsid w:val="00371C39"/>
    <w:rsid w:val="0037332C"/>
    <w:rsid w:val="00376042"/>
    <w:rsid w:val="00376104"/>
    <w:rsid w:val="00380015"/>
    <w:rsid w:val="0038500B"/>
    <w:rsid w:val="003853A5"/>
    <w:rsid w:val="0038560F"/>
    <w:rsid w:val="00386A6C"/>
    <w:rsid w:val="00386CB5"/>
    <w:rsid w:val="00390963"/>
    <w:rsid w:val="00393BCF"/>
    <w:rsid w:val="003A0FFF"/>
    <w:rsid w:val="003A24CD"/>
    <w:rsid w:val="003A34FD"/>
    <w:rsid w:val="003A4D0A"/>
    <w:rsid w:val="003A4E34"/>
    <w:rsid w:val="003A5780"/>
    <w:rsid w:val="003A5FD5"/>
    <w:rsid w:val="003B2A93"/>
    <w:rsid w:val="003B2B38"/>
    <w:rsid w:val="003B3226"/>
    <w:rsid w:val="003C04AE"/>
    <w:rsid w:val="003C499C"/>
    <w:rsid w:val="003D520B"/>
    <w:rsid w:val="003D5515"/>
    <w:rsid w:val="003D61B2"/>
    <w:rsid w:val="003D7F41"/>
    <w:rsid w:val="003E4CEB"/>
    <w:rsid w:val="003F478A"/>
    <w:rsid w:val="003F6658"/>
    <w:rsid w:val="0040393C"/>
    <w:rsid w:val="004054D0"/>
    <w:rsid w:val="00410BD0"/>
    <w:rsid w:val="00411F8E"/>
    <w:rsid w:val="00416B67"/>
    <w:rsid w:val="004173A8"/>
    <w:rsid w:val="00423922"/>
    <w:rsid w:val="00425110"/>
    <w:rsid w:val="004314E3"/>
    <w:rsid w:val="00434CF2"/>
    <w:rsid w:val="00435101"/>
    <w:rsid w:val="004358DB"/>
    <w:rsid w:val="00440717"/>
    <w:rsid w:val="004461E7"/>
    <w:rsid w:val="00450848"/>
    <w:rsid w:val="00452854"/>
    <w:rsid w:val="004568C0"/>
    <w:rsid w:val="004649E0"/>
    <w:rsid w:val="00464EC8"/>
    <w:rsid w:val="0046542E"/>
    <w:rsid w:val="004729CE"/>
    <w:rsid w:val="00473D20"/>
    <w:rsid w:val="004808E0"/>
    <w:rsid w:val="00481669"/>
    <w:rsid w:val="0048286E"/>
    <w:rsid w:val="00483DBA"/>
    <w:rsid w:val="004913D7"/>
    <w:rsid w:val="00495F53"/>
    <w:rsid w:val="004A1BA1"/>
    <w:rsid w:val="004A3694"/>
    <w:rsid w:val="004A41DF"/>
    <w:rsid w:val="004A6462"/>
    <w:rsid w:val="004A6F6B"/>
    <w:rsid w:val="004B12C7"/>
    <w:rsid w:val="004B31E9"/>
    <w:rsid w:val="004B3DA7"/>
    <w:rsid w:val="004C06CD"/>
    <w:rsid w:val="004C1923"/>
    <w:rsid w:val="004C7F2B"/>
    <w:rsid w:val="004D32AB"/>
    <w:rsid w:val="004D40C3"/>
    <w:rsid w:val="004E2445"/>
    <w:rsid w:val="004E25EA"/>
    <w:rsid w:val="004E2D8D"/>
    <w:rsid w:val="004E386F"/>
    <w:rsid w:val="004E4492"/>
    <w:rsid w:val="004E5634"/>
    <w:rsid w:val="004E644A"/>
    <w:rsid w:val="004F07AF"/>
    <w:rsid w:val="004F0A68"/>
    <w:rsid w:val="004F13A4"/>
    <w:rsid w:val="004F2034"/>
    <w:rsid w:val="004F39A5"/>
    <w:rsid w:val="004F675A"/>
    <w:rsid w:val="0050083C"/>
    <w:rsid w:val="00501A2D"/>
    <w:rsid w:val="00501C74"/>
    <w:rsid w:val="00502DE8"/>
    <w:rsid w:val="005038D7"/>
    <w:rsid w:val="00504D6D"/>
    <w:rsid w:val="00504FA6"/>
    <w:rsid w:val="005078B3"/>
    <w:rsid w:val="005147F5"/>
    <w:rsid w:val="00514F7C"/>
    <w:rsid w:val="0051563F"/>
    <w:rsid w:val="00516545"/>
    <w:rsid w:val="00516D6C"/>
    <w:rsid w:val="005175C8"/>
    <w:rsid w:val="00520B5F"/>
    <w:rsid w:val="005213BD"/>
    <w:rsid w:val="00521DB4"/>
    <w:rsid w:val="00523291"/>
    <w:rsid w:val="005248D2"/>
    <w:rsid w:val="00530D24"/>
    <w:rsid w:val="00530FC8"/>
    <w:rsid w:val="00533E2E"/>
    <w:rsid w:val="00536486"/>
    <w:rsid w:val="00537507"/>
    <w:rsid w:val="00541628"/>
    <w:rsid w:val="00541755"/>
    <w:rsid w:val="00542C06"/>
    <w:rsid w:val="00543ED5"/>
    <w:rsid w:val="005459CF"/>
    <w:rsid w:val="00547334"/>
    <w:rsid w:val="005515CA"/>
    <w:rsid w:val="00551DEB"/>
    <w:rsid w:val="00553264"/>
    <w:rsid w:val="00553FFF"/>
    <w:rsid w:val="00560805"/>
    <w:rsid w:val="00563E31"/>
    <w:rsid w:val="00565148"/>
    <w:rsid w:val="005667CC"/>
    <w:rsid w:val="00575A4F"/>
    <w:rsid w:val="00583FD5"/>
    <w:rsid w:val="00587A23"/>
    <w:rsid w:val="005A1856"/>
    <w:rsid w:val="005A1B33"/>
    <w:rsid w:val="005A42F6"/>
    <w:rsid w:val="005A4F99"/>
    <w:rsid w:val="005A5F60"/>
    <w:rsid w:val="005A715E"/>
    <w:rsid w:val="005A7CBC"/>
    <w:rsid w:val="005B3E21"/>
    <w:rsid w:val="005B42D5"/>
    <w:rsid w:val="005C2E56"/>
    <w:rsid w:val="005D2B35"/>
    <w:rsid w:val="005E041D"/>
    <w:rsid w:val="005E2862"/>
    <w:rsid w:val="005E2925"/>
    <w:rsid w:val="005F04DC"/>
    <w:rsid w:val="005F4831"/>
    <w:rsid w:val="005F775F"/>
    <w:rsid w:val="005F7C04"/>
    <w:rsid w:val="00600AC6"/>
    <w:rsid w:val="00604F28"/>
    <w:rsid w:val="006068A9"/>
    <w:rsid w:val="00606DF5"/>
    <w:rsid w:val="00607B6C"/>
    <w:rsid w:val="00611682"/>
    <w:rsid w:val="006130BC"/>
    <w:rsid w:val="006131B9"/>
    <w:rsid w:val="00613AE4"/>
    <w:rsid w:val="006205AD"/>
    <w:rsid w:val="0062210A"/>
    <w:rsid w:val="006230C7"/>
    <w:rsid w:val="00625ABF"/>
    <w:rsid w:val="00630FCF"/>
    <w:rsid w:val="00631963"/>
    <w:rsid w:val="00634AED"/>
    <w:rsid w:val="006416E8"/>
    <w:rsid w:val="00641878"/>
    <w:rsid w:val="00645104"/>
    <w:rsid w:val="00651D56"/>
    <w:rsid w:val="006536A2"/>
    <w:rsid w:val="00654EF5"/>
    <w:rsid w:val="00660DBD"/>
    <w:rsid w:val="00660F57"/>
    <w:rsid w:val="006614B8"/>
    <w:rsid w:val="00663785"/>
    <w:rsid w:val="006639F0"/>
    <w:rsid w:val="006662F8"/>
    <w:rsid w:val="00667F38"/>
    <w:rsid w:val="00671DA8"/>
    <w:rsid w:val="00674366"/>
    <w:rsid w:val="00676C82"/>
    <w:rsid w:val="00677CD8"/>
    <w:rsid w:val="0068013E"/>
    <w:rsid w:val="00684026"/>
    <w:rsid w:val="00684D06"/>
    <w:rsid w:val="00690546"/>
    <w:rsid w:val="006913A4"/>
    <w:rsid w:val="006913E9"/>
    <w:rsid w:val="00692228"/>
    <w:rsid w:val="00692412"/>
    <w:rsid w:val="00695946"/>
    <w:rsid w:val="00695E11"/>
    <w:rsid w:val="006A3E97"/>
    <w:rsid w:val="006A79BC"/>
    <w:rsid w:val="006B39C8"/>
    <w:rsid w:val="006B4B2A"/>
    <w:rsid w:val="006B54F9"/>
    <w:rsid w:val="006C05B7"/>
    <w:rsid w:val="006C3AD5"/>
    <w:rsid w:val="006C66B9"/>
    <w:rsid w:val="006D11B0"/>
    <w:rsid w:val="006D281A"/>
    <w:rsid w:val="006D4756"/>
    <w:rsid w:val="006E3F8E"/>
    <w:rsid w:val="006E6B3D"/>
    <w:rsid w:val="006E6C67"/>
    <w:rsid w:val="006F2033"/>
    <w:rsid w:val="006F3605"/>
    <w:rsid w:val="00700055"/>
    <w:rsid w:val="00703BFE"/>
    <w:rsid w:val="0070427D"/>
    <w:rsid w:val="00713156"/>
    <w:rsid w:val="0071652F"/>
    <w:rsid w:val="007169D9"/>
    <w:rsid w:val="00721487"/>
    <w:rsid w:val="0073481D"/>
    <w:rsid w:val="007400D3"/>
    <w:rsid w:val="0074330D"/>
    <w:rsid w:val="007440D5"/>
    <w:rsid w:val="00744326"/>
    <w:rsid w:val="00752CA3"/>
    <w:rsid w:val="0076106D"/>
    <w:rsid w:val="007617CA"/>
    <w:rsid w:val="00761D43"/>
    <w:rsid w:val="007634BF"/>
    <w:rsid w:val="007703B6"/>
    <w:rsid w:val="0077189A"/>
    <w:rsid w:val="00772CBD"/>
    <w:rsid w:val="00773553"/>
    <w:rsid w:val="007773AA"/>
    <w:rsid w:val="00784B30"/>
    <w:rsid w:val="007931D7"/>
    <w:rsid w:val="00794B87"/>
    <w:rsid w:val="00795FF4"/>
    <w:rsid w:val="007A06CD"/>
    <w:rsid w:val="007A3BE5"/>
    <w:rsid w:val="007B3E28"/>
    <w:rsid w:val="007B66A8"/>
    <w:rsid w:val="007C22A5"/>
    <w:rsid w:val="007C3BC6"/>
    <w:rsid w:val="007C3E4C"/>
    <w:rsid w:val="007C5197"/>
    <w:rsid w:val="007C59B9"/>
    <w:rsid w:val="007C6FF5"/>
    <w:rsid w:val="007D04C6"/>
    <w:rsid w:val="007D5935"/>
    <w:rsid w:val="007E7478"/>
    <w:rsid w:val="007F09B3"/>
    <w:rsid w:val="007F3899"/>
    <w:rsid w:val="007F427B"/>
    <w:rsid w:val="007F65EA"/>
    <w:rsid w:val="007F6BA9"/>
    <w:rsid w:val="00804F5E"/>
    <w:rsid w:val="00805171"/>
    <w:rsid w:val="00811250"/>
    <w:rsid w:val="008119B0"/>
    <w:rsid w:val="00830763"/>
    <w:rsid w:val="00832794"/>
    <w:rsid w:val="00832E0E"/>
    <w:rsid w:val="00833687"/>
    <w:rsid w:val="00836E1A"/>
    <w:rsid w:val="00836F83"/>
    <w:rsid w:val="00844713"/>
    <w:rsid w:val="00845ABE"/>
    <w:rsid w:val="008465DF"/>
    <w:rsid w:val="00851ADE"/>
    <w:rsid w:val="008535BF"/>
    <w:rsid w:val="00853D2A"/>
    <w:rsid w:val="0085422C"/>
    <w:rsid w:val="0085474F"/>
    <w:rsid w:val="00854FC0"/>
    <w:rsid w:val="008568BD"/>
    <w:rsid w:val="00865828"/>
    <w:rsid w:val="00873006"/>
    <w:rsid w:val="00877301"/>
    <w:rsid w:val="00891145"/>
    <w:rsid w:val="00892EC9"/>
    <w:rsid w:val="0089426C"/>
    <w:rsid w:val="00897D8B"/>
    <w:rsid w:val="008A1BAB"/>
    <w:rsid w:val="008B4B13"/>
    <w:rsid w:val="008B6FB5"/>
    <w:rsid w:val="008C073B"/>
    <w:rsid w:val="008D6B54"/>
    <w:rsid w:val="008D7496"/>
    <w:rsid w:val="008D78DA"/>
    <w:rsid w:val="008E064E"/>
    <w:rsid w:val="008E7FBE"/>
    <w:rsid w:val="008F1C44"/>
    <w:rsid w:val="008F5090"/>
    <w:rsid w:val="008F5EE9"/>
    <w:rsid w:val="00902BE3"/>
    <w:rsid w:val="0090418B"/>
    <w:rsid w:val="00906342"/>
    <w:rsid w:val="009102EF"/>
    <w:rsid w:val="00912963"/>
    <w:rsid w:val="009147C8"/>
    <w:rsid w:val="00915143"/>
    <w:rsid w:val="00920A46"/>
    <w:rsid w:val="00927F2E"/>
    <w:rsid w:val="009342D9"/>
    <w:rsid w:val="009364D3"/>
    <w:rsid w:val="00941A9D"/>
    <w:rsid w:val="0094202D"/>
    <w:rsid w:val="00944DE6"/>
    <w:rsid w:val="0095090A"/>
    <w:rsid w:val="009524BB"/>
    <w:rsid w:val="00954A77"/>
    <w:rsid w:val="0096000F"/>
    <w:rsid w:val="00962D1C"/>
    <w:rsid w:val="0096774B"/>
    <w:rsid w:val="00967B19"/>
    <w:rsid w:val="00971E9C"/>
    <w:rsid w:val="00972515"/>
    <w:rsid w:val="0097460B"/>
    <w:rsid w:val="00974860"/>
    <w:rsid w:val="00975045"/>
    <w:rsid w:val="009838AA"/>
    <w:rsid w:val="00986D68"/>
    <w:rsid w:val="009874DF"/>
    <w:rsid w:val="0099030A"/>
    <w:rsid w:val="00996EB2"/>
    <w:rsid w:val="009A6B0F"/>
    <w:rsid w:val="009B1F41"/>
    <w:rsid w:val="009B3E23"/>
    <w:rsid w:val="009C0684"/>
    <w:rsid w:val="009C5034"/>
    <w:rsid w:val="009D0F3C"/>
    <w:rsid w:val="009D1B96"/>
    <w:rsid w:val="009D1CFA"/>
    <w:rsid w:val="009D402D"/>
    <w:rsid w:val="009E14AF"/>
    <w:rsid w:val="009E32E4"/>
    <w:rsid w:val="009E4764"/>
    <w:rsid w:val="009E48F1"/>
    <w:rsid w:val="009E5111"/>
    <w:rsid w:val="009E6B4E"/>
    <w:rsid w:val="009F382F"/>
    <w:rsid w:val="009F3B35"/>
    <w:rsid w:val="009F57E5"/>
    <w:rsid w:val="009F7014"/>
    <w:rsid w:val="009F7D57"/>
    <w:rsid w:val="00A02FDD"/>
    <w:rsid w:val="00A03995"/>
    <w:rsid w:val="00A07BDD"/>
    <w:rsid w:val="00A101AD"/>
    <w:rsid w:val="00A11C02"/>
    <w:rsid w:val="00A23016"/>
    <w:rsid w:val="00A25643"/>
    <w:rsid w:val="00A2689D"/>
    <w:rsid w:val="00A279B1"/>
    <w:rsid w:val="00A279DD"/>
    <w:rsid w:val="00A27D87"/>
    <w:rsid w:val="00A305AC"/>
    <w:rsid w:val="00A36CC5"/>
    <w:rsid w:val="00A36D46"/>
    <w:rsid w:val="00A36ECE"/>
    <w:rsid w:val="00A37F5C"/>
    <w:rsid w:val="00A40A82"/>
    <w:rsid w:val="00A518F6"/>
    <w:rsid w:val="00A52268"/>
    <w:rsid w:val="00A60BE2"/>
    <w:rsid w:val="00A61E6D"/>
    <w:rsid w:val="00A6413E"/>
    <w:rsid w:val="00A67D8F"/>
    <w:rsid w:val="00A77937"/>
    <w:rsid w:val="00A864F2"/>
    <w:rsid w:val="00A92238"/>
    <w:rsid w:val="00A939A1"/>
    <w:rsid w:val="00A970BD"/>
    <w:rsid w:val="00A979E3"/>
    <w:rsid w:val="00AA1D2E"/>
    <w:rsid w:val="00AA2B30"/>
    <w:rsid w:val="00AA323B"/>
    <w:rsid w:val="00AA5A97"/>
    <w:rsid w:val="00AB39FA"/>
    <w:rsid w:val="00AB3B59"/>
    <w:rsid w:val="00AB4CD7"/>
    <w:rsid w:val="00AB6E1A"/>
    <w:rsid w:val="00AB7068"/>
    <w:rsid w:val="00AC1C17"/>
    <w:rsid w:val="00AC54D5"/>
    <w:rsid w:val="00AD1157"/>
    <w:rsid w:val="00AD2776"/>
    <w:rsid w:val="00AE1AEA"/>
    <w:rsid w:val="00AE398A"/>
    <w:rsid w:val="00AE5A8E"/>
    <w:rsid w:val="00B02178"/>
    <w:rsid w:val="00B03307"/>
    <w:rsid w:val="00B03FFE"/>
    <w:rsid w:val="00B113AA"/>
    <w:rsid w:val="00B13426"/>
    <w:rsid w:val="00B1349F"/>
    <w:rsid w:val="00B1399F"/>
    <w:rsid w:val="00B154C9"/>
    <w:rsid w:val="00B16DFF"/>
    <w:rsid w:val="00B16E4D"/>
    <w:rsid w:val="00B21F1A"/>
    <w:rsid w:val="00B243DB"/>
    <w:rsid w:val="00B24CBF"/>
    <w:rsid w:val="00B30D1B"/>
    <w:rsid w:val="00B334EF"/>
    <w:rsid w:val="00B3674D"/>
    <w:rsid w:val="00B40219"/>
    <w:rsid w:val="00B41647"/>
    <w:rsid w:val="00B41FB3"/>
    <w:rsid w:val="00B47203"/>
    <w:rsid w:val="00B47D39"/>
    <w:rsid w:val="00B53294"/>
    <w:rsid w:val="00B62112"/>
    <w:rsid w:val="00B629AE"/>
    <w:rsid w:val="00B6354E"/>
    <w:rsid w:val="00B641CA"/>
    <w:rsid w:val="00B64245"/>
    <w:rsid w:val="00B645F3"/>
    <w:rsid w:val="00B76DAB"/>
    <w:rsid w:val="00B83239"/>
    <w:rsid w:val="00B905C1"/>
    <w:rsid w:val="00B91B4B"/>
    <w:rsid w:val="00B94821"/>
    <w:rsid w:val="00B96B54"/>
    <w:rsid w:val="00BA10EA"/>
    <w:rsid w:val="00BA185B"/>
    <w:rsid w:val="00BA2BC7"/>
    <w:rsid w:val="00BB0672"/>
    <w:rsid w:val="00BB0C34"/>
    <w:rsid w:val="00BB4295"/>
    <w:rsid w:val="00BC1C30"/>
    <w:rsid w:val="00BC42E3"/>
    <w:rsid w:val="00BC5D30"/>
    <w:rsid w:val="00BC7DA0"/>
    <w:rsid w:val="00BD32AE"/>
    <w:rsid w:val="00BD39B1"/>
    <w:rsid w:val="00BD4197"/>
    <w:rsid w:val="00BD51B0"/>
    <w:rsid w:val="00BE045A"/>
    <w:rsid w:val="00BE086C"/>
    <w:rsid w:val="00BE1338"/>
    <w:rsid w:val="00BF3847"/>
    <w:rsid w:val="00BF5B2C"/>
    <w:rsid w:val="00BF72F8"/>
    <w:rsid w:val="00BF7D46"/>
    <w:rsid w:val="00C02F20"/>
    <w:rsid w:val="00C046A0"/>
    <w:rsid w:val="00C0593E"/>
    <w:rsid w:val="00C06729"/>
    <w:rsid w:val="00C06806"/>
    <w:rsid w:val="00C119AA"/>
    <w:rsid w:val="00C130B1"/>
    <w:rsid w:val="00C16C4F"/>
    <w:rsid w:val="00C16DA9"/>
    <w:rsid w:val="00C21A54"/>
    <w:rsid w:val="00C30965"/>
    <w:rsid w:val="00C32B66"/>
    <w:rsid w:val="00C332BD"/>
    <w:rsid w:val="00C40234"/>
    <w:rsid w:val="00C51ABB"/>
    <w:rsid w:val="00C60776"/>
    <w:rsid w:val="00C61A72"/>
    <w:rsid w:val="00C64B65"/>
    <w:rsid w:val="00C67A48"/>
    <w:rsid w:val="00C71B8A"/>
    <w:rsid w:val="00C7215D"/>
    <w:rsid w:val="00C72279"/>
    <w:rsid w:val="00C74834"/>
    <w:rsid w:val="00C822F1"/>
    <w:rsid w:val="00C8411E"/>
    <w:rsid w:val="00C879EA"/>
    <w:rsid w:val="00C942CA"/>
    <w:rsid w:val="00CA20F5"/>
    <w:rsid w:val="00CA2248"/>
    <w:rsid w:val="00CA5323"/>
    <w:rsid w:val="00CA54A7"/>
    <w:rsid w:val="00CA6678"/>
    <w:rsid w:val="00CA6F31"/>
    <w:rsid w:val="00CA735A"/>
    <w:rsid w:val="00CB0180"/>
    <w:rsid w:val="00CB0F33"/>
    <w:rsid w:val="00CB38C8"/>
    <w:rsid w:val="00CC23D7"/>
    <w:rsid w:val="00CC4A0E"/>
    <w:rsid w:val="00CC7707"/>
    <w:rsid w:val="00CD6B2F"/>
    <w:rsid w:val="00CE2E4B"/>
    <w:rsid w:val="00CE5847"/>
    <w:rsid w:val="00CF626A"/>
    <w:rsid w:val="00D04F22"/>
    <w:rsid w:val="00D11A25"/>
    <w:rsid w:val="00D1356B"/>
    <w:rsid w:val="00D13F54"/>
    <w:rsid w:val="00D17E73"/>
    <w:rsid w:val="00D23CD3"/>
    <w:rsid w:val="00D24170"/>
    <w:rsid w:val="00D26083"/>
    <w:rsid w:val="00D3231B"/>
    <w:rsid w:val="00D344F2"/>
    <w:rsid w:val="00D34E61"/>
    <w:rsid w:val="00D51088"/>
    <w:rsid w:val="00D57D2E"/>
    <w:rsid w:val="00D60728"/>
    <w:rsid w:val="00D63082"/>
    <w:rsid w:val="00D66ED6"/>
    <w:rsid w:val="00D70506"/>
    <w:rsid w:val="00D705BE"/>
    <w:rsid w:val="00D72A66"/>
    <w:rsid w:val="00D75973"/>
    <w:rsid w:val="00D75994"/>
    <w:rsid w:val="00D76A6D"/>
    <w:rsid w:val="00D76BD5"/>
    <w:rsid w:val="00D81A2E"/>
    <w:rsid w:val="00D8250D"/>
    <w:rsid w:val="00D856EF"/>
    <w:rsid w:val="00D85F0F"/>
    <w:rsid w:val="00D87588"/>
    <w:rsid w:val="00D92E14"/>
    <w:rsid w:val="00D96F17"/>
    <w:rsid w:val="00DA13E7"/>
    <w:rsid w:val="00DA20BE"/>
    <w:rsid w:val="00DA2BE3"/>
    <w:rsid w:val="00DA388E"/>
    <w:rsid w:val="00DB1C03"/>
    <w:rsid w:val="00DB3B14"/>
    <w:rsid w:val="00DB4A04"/>
    <w:rsid w:val="00DB753F"/>
    <w:rsid w:val="00DC1F22"/>
    <w:rsid w:val="00DC4CCD"/>
    <w:rsid w:val="00DC66D0"/>
    <w:rsid w:val="00DD19DE"/>
    <w:rsid w:val="00DD3671"/>
    <w:rsid w:val="00DD3C86"/>
    <w:rsid w:val="00DD4B84"/>
    <w:rsid w:val="00DD4CEE"/>
    <w:rsid w:val="00DD4D38"/>
    <w:rsid w:val="00DD580E"/>
    <w:rsid w:val="00DD643F"/>
    <w:rsid w:val="00DD7131"/>
    <w:rsid w:val="00DD7E45"/>
    <w:rsid w:val="00DE2523"/>
    <w:rsid w:val="00DE6BB8"/>
    <w:rsid w:val="00DF1169"/>
    <w:rsid w:val="00DF1733"/>
    <w:rsid w:val="00DF1926"/>
    <w:rsid w:val="00DF1A6F"/>
    <w:rsid w:val="00DF6503"/>
    <w:rsid w:val="00E002B8"/>
    <w:rsid w:val="00E14CF5"/>
    <w:rsid w:val="00E20247"/>
    <w:rsid w:val="00E21B43"/>
    <w:rsid w:val="00E25773"/>
    <w:rsid w:val="00E33382"/>
    <w:rsid w:val="00E36612"/>
    <w:rsid w:val="00E3739B"/>
    <w:rsid w:val="00E37ADC"/>
    <w:rsid w:val="00E4188A"/>
    <w:rsid w:val="00E44136"/>
    <w:rsid w:val="00E45B34"/>
    <w:rsid w:val="00E5275C"/>
    <w:rsid w:val="00E53811"/>
    <w:rsid w:val="00E5684D"/>
    <w:rsid w:val="00E61817"/>
    <w:rsid w:val="00E66D2C"/>
    <w:rsid w:val="00E70A7C"/>
    <w:rsid w:val="00E746CE"/>
    <w:rsid w:val="00E77679"/>
    <w:rsid w:val="00E77C97"/>
    <w:rsid w:val="00E918D7"/>
    <w:rsid w:val="00E91C17"/>
    <w:rsid w:val="00E92790"/>
    <w:rsid w:val="00E9555D"/>
    <w:rsid w:val="00EA0808"/>
    <w:rsid w:val="00EA1592"/>
    <w:rsid w:val="00EA191A"/>
    <w:rsid w:val="00EA2EB3"/>
    <w:rsid w:val="00EA3AAF"/>
    <w:rsid w:val="00EB02C4"/>
    <w:rsid w:val="00EB2D95"/>
    <w:rsid w:val="00EB466F"/>
    <w:rsid w:val="00EB4AFB"/>
    <w:rsid w:val="00EC0CBE"/>
    <w:rsid w:val="00EC23F7"/>
    <w:rsid w:val="00EC2636"/>
    <w:rsid w:val="00EC3F2C"/>
    <w:rsid w:val="00EC53F5"/>
    <w:rsid w:val="00ED127B"/>
    <w:rsid w:val="00ED282B"/>
    <w:rsid w:val="00ED522E"/>
    <w:rsid w:val="00EE2FEC"/>
    <w:rsid w:val="00EF113C"/>
    <w:rsid w:val="00EF116C"/>
    <w:rsid w:val="00EF171E"/>
    <w:rsid w:val="00EF1ECC"/>
    <w:rsid w:val="00EF2A2F"/>
    <w:rsid w:val="00EF2B1B"/>
    <w:rsid w:val="00EF4BE5"/>
    <w:rsid w:val="00F0055F"/>
    <w:rsid w:val="00F0119A"/>
    <w:rsid w:val="00F03A26"/>
    <w:rsid w:val="00F041EF"/>
    <w:rsid w:val="00F110B0"/>
    <w:rsid w:val="00F112A2"/>
    <w:rsid w:val="00F11F87"/>
    <w:rsid w:val="00F1240C"/>
    <w:rsid w:val="00F13CBF"/>
    <w:rsid w:val="00F1640D"/>
    <w:rsid w:val="00F169A2"/>
    <w:rsid w:val="00F17AB8"/>
    <w:rsid w:val="00F20952"/>
    <w:rsid w:val="00F2097D"/>
    <w:rsid w:val="00F2100D"/>
    <w:rsid w:val="00F26C3E"/>
    <w:rsid w:val="00F30263"/>
    <w:rsid w:val="00F34684"/>
    <w:rsid w:val="00F43E08"/>
    <w:rsid w:val="00F44A69"/>
    <w:rsid w:val="00F461C6"/>
    <w:rsid w:val="00F46C12"/>
    <w:rsid w:val="00F52183"/>
    <w:rsid w:val="00F53EA5"/>
    <w:rsid w:val="00F55FFD"/>
    <w:rsid w:val="00F60D75"/>
    <w:rsid w:val="00F7265C"/>
    <w:rsid w:val="00F72D73"/>
    <w:rsid w:val="00F744C4"/>
    <w:rsid w:val="00F75F02"/>
    <w:rsid w:val="00F82472"/>
    <w:rsid w:val="00F86CDF"/>
    <w:rsid w:val="00F92BFD"/>
    <w:rsid w:val="00F95545"/>
    <w:rsid w:val="00FA3C03"/>
    <w:rsid w:val="00FC0260"/>
    <w:rsid w:val="00FC4AFD"/>
    <w:rsid w:val="00FD048F"/>
    <w:rsid w:val="00FD39F0"/>
    <w:rsid w:val="00FD52E2"/>
    <w:rsid w:val="00FD7D46"/>
    <w:rsid w:val="00FE2504"/>
    <w:rsid w:val="00FE3A99"/>
    <w:rsid w:val="00FF42B8"/>
    <w:rsid w:val="00FF537E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5728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0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8D7496"/>
    <w:pPr>
      <w:spacing w:after="150" w:line="240" w:lineRule="auto"/>
      <w:outlineLvl w:val="1"/>
    </w:pPr>
    <w:rPr>
      <w:rFonts w:ascii="Arial" w:eastAsiaTheme="minorHAnsi" w:hAnsi="Arial" w:cs="Arial"/>
      <w:b/>
      <w:bCs/>
      <w:color w:val="30303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578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7496"/>
    <w:rPr>
      <w:rFonts w:ascii="Arial" w:hAnsi="Arial" w:cs="Arial"/>
      <w:b/>
      <w:bCs/>
      <w:color w:val="303030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D7496"/>
    <w:rPr>
      <w:b/>
      <w:bCs/>
    </w:rPr>
  </w:style>
  <w:style w:type="character" w:styleId="Emphasis">
    <w:name w:val="Emphasis"/>
    <w:basedOn w:val="DefaultParagraphFont"/>
    <w:uiPriority w:val="20"/>
    <w:qFormat/>
    <w:rsid w:val="008D749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19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9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19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56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6BA9"/>
  </w:style>
  <w:style w:type="paragraph" w:customStyle="1" w:styleId="paragraph">
    <w:name w:val="paragraph"/>
    <w:basedOn w:val="Normal"/>
    <w:rsid w:val="00DB7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B753F"/>
  </w:style>
  <w:style w:type="character" w:customStyle="1" w:styleId="cf01">
    <w:name w:val="cf01"/>
    <w:basedOn w:val="DefaultParagraphFont"/>
    <w:rsid w:val="00297A2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97A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elfast Met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B4E5"/>
      </a:accent1>
      <a:accent2>
        <a:srgbClr val="406CA9"/>
      </a:accent2>
      <a:accent3>
        <a:srgbClr val="224289"/>
      </a:accent3>
      <a:accent4>
        <a:srgbClr val="CC9F52"/>
      </a:accent4>
      <a:accent5>
        <a:srgbClr val="EED282"/>
      </a:accent5>
      <a:accent6>
        <a:srgbClr val="8B81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7F81C-39C3-47F3-8119-80DC896C16F1}">
  <ds:schemaRefs>
    <ds:schemaRef ds:uri="http://schemas.microsoft.com/office/2006/metadata/properties"/>
    <ds:schemaRef ds:uri="e28edf13-f623-4bcb-af2f-300376b380e3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5772d226-fb2a-4ee0-bab6-ec3129ec47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143114-00A2-4090-9E01-9FDCF4F4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A64CC-AB33-4D10-B8FE-823AE2C2E9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F14969-8713-4658-905B-6E8536038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College Resources Committee</vt:lpstr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Metropolitan College Resources Committee</dc:title>
  <dc:subject/>
  <dc:creator>Ronan Moran (RMoran)</dc:creator>
  <cp:keywords/>
  <dc:description/>
  <cp:lastModifiedBy>Andrea Browne (AndreaBrowne)</cp:lastModifiedBy>
  <cp:revision>7</cp:revision>
  <cp:lastPrinted>2024-09-05T14:37:00Z</cp:lastPrinted>
  <dcterms:created xsi:type="dcterms:W3CDTF">2024-09-05T14:35:00Z</dcterms:created>
  <dcterms:modified xsi:type="dcterms:W3CDTF">2024-09-05T14:42:00Z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0x0101004BBB579C44DBA04885837FB51E368F9D</vt:lpwstr>
  </property>
  <property fmtid="{D5CDD505-2E9C-101B-9397-08002B2CF9AE}" pid="3" name="MediaServiceImageTags">
    <vt:lpwstr/>
  </property>
</Properties>
</file>