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2F89" w14:textId="77777777" w:rsidR="0057042D" w:rsidRDefault="0057042D" w:rsidP="0088655A">
      <w:pPr>
        <w:tabs>
          <w:tab w:val="left" w:pos="7965"/>
        </w:tabs>
        <w:rPr>
          <w:noProof/>
        </w:rPr>
      </w:pPr>
    </w:p>
    <w:p w14:paraId="5FDA598D" w14:textId="6D865141" w:rsidR="0037052F" w:rsidRDefault="00654998" w:rsidP="0088655A">
      <w:pPr>
        <w:tabs>
          <w:tab w:val="left" w:pos="7965"/>
        </w:tabs>
      </w:pPr>
      <w:r>
        <w:rPr>
          <w:noProof/>
        </w:rPr>
        <w:drawing>
          <wp:anchor distT="0" distB="0" distL="114300" distR="114300" simplePos="0" relativeHeight="251658241" behindDoc="1" locked="0" layoutInCell="1" allowOverlap="1" wp14:anchorId="4CD2446A" wp14:editId="54D6C4BB">
            <wp:simplePos x="0" y="0"/>
            <wp:positionH relativeFrom="page">
              <wp:align>left</wp:align>
            </wp:positionH>
            <wp:positionV relativeFrom="paragraph">
              <wp:posOffset>-857885</wp:posOffset>
            </wp:positionV>
            <wp:extent cx="7476490" cy="1065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476490" cy="10655300"/>
                    </a:xfrm>
                    <a:prstGeom prst="rect">
                      <a:avLst/>
                    </a:prstGeom>
                  </pic:spPr>
                </pic:pic>
              </a:graphicData>
            </a:graphic>
            <wp14:sizeRelH relativeFrom="page">
              <wp14:pctWidth>0</wp14:pctWidth>
            </wp14:sizeRelH>
            <wp14:sizeRelV relativeFrom="page">
              <wp14:pctHeight>0</wp14:pctHeight>
            </wp14:sizeRelV>
          </wp:anchor>
        </w:drawing>
      </w:r>
      <w:r w:rsidR="00EE1441">
        <w:rPr>
          <w:noProof/>
          <w:lang w:eastAsia="en-GB"/>
        </w:rPr>
        <w:drawing>
          <wp:anchor distT="0" distB="0" distL="114300" distR="114300" simplePos="0" relativeHeight="251658240" behindDoc="1" locked="0" layoutInCell="1" allowOverlap="1" wp14:anchorId="5E3E8211" wp14:editId="266D5624">
            <wp:simplePos x="0" y="0"/>
            <wp:positionH relativeFrom="column">
              <wp:posOffset>-289560</wp:posOffset>
            </wp:positionH>
            <wp:positionV relativeFrom="margin">
              <wp:posOffset>8747760</wp:posOffset>
            </wp:positionV>
            <wp:extent cx="2176780" cy="516255"/>
            <wp:effectExtent l="0" t="0" r="0" b="0"/>
            <wp:wrapTight wrapText="bothSides">
              <wp:wrapPolygon edited="0">
                <wp:start x="0" y="0"/>
                <wp:lineTo x="0" y="20723"/>
                <wp:lineTo x="567" y="20723"/>
                <wp:lineTo x="21361" y="19926"/>
                <wp:lineTo x="21361" y="13550"/>
                <wp:lineTo x="19470" y="12753"/>
                <wp:lineTo x="19659" y="5579"/>
                <wp:lineTo x="14366" y="1594"/>
                <wp:lineTo x="5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78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3F085" w14:textId="77777777" w:rsidR="0037052F" w:rsidRDefault="0037052F" w:rsidP="0088655A">
      <w:pPr>
        <w:tabs>
          <w:tab w:val="left" w:pos="7965"/>
        </w:tabs>
      </w:pPr>
    </w:p>
    <w:tbl>
      <w:tblPr>
        <w:tblStyle w:val="TableGrid"/>
        <w:tblpPr w:leftFromText="180" w:rightFromText="180" w:vertAnchor="text" w:horzAnchor="margin" w:tblpY="287"/>
        <w:tblW w:w="9493" w:type="dxa"/>
        <w:tblLook w:val="04A0" w:firstRow="1" w:lastRow="0" w:firstColumn="1" w:lastColumn="0" w:noHBand="0" w:noVBand="1"/>
      </w:tblPr>
      <w:tblGrid>
        <w:gridCol w:w="823"/>
        <w:gridCol w:w="8670"/>
      </w:tblGrid>
      <w:tr w:rsidR="00514612" w14:paraId="673BAEC8" w14:textId="77777777" w:rsidTr="6EBF44DD">
        <w:trPr>
          <w:trHeight w:val="675"/>
        </w:trPr>
        <w:tc>
          <w:tcPr>
            <w:tcW w:w="9493" w:type="dxa"/>
            <w:gridSpan w:val="2"/>
            <w:shd w:val="clear" w:color="auto" w:fill="4389D7" w:themeFill="text2" w:themeFillTint="99"/>
          </w:tcPr>
          <w:p w14:paraId="01B7CE96" w14:textId="35B064B6" w:rsidR="00514612" w:rsidRDefault="00514612" w:rsidP="00514612">
            <w:pPr>
              <w:rPr>
                <w:b/>
              </w:rPr>
            </w:pPr>
            <w:r w:rsidRPr="00124151">
              <w:rPr>
                <w:b/>
              </w:rPr>
              <w:t xml:space="preserve">Belfast Metropolitan College Audit and Risk </w:t>
            </w:r>
            <w:r w:rsidR="00C358EE">
              <w:rPr>
                <w:b/>
              </w:rPr>
              <w:t xml:space="preserve">Assurance </w:t>
            </w:r>
            <w:r w:rsidRPr="00124151">
              <w:rPr>
                <w:b/>
              </w:rPr>
              <w:t xml:space="preserve">Committee </w:t>
            </w:r>
          </w:p>
          <w:p w14:paraId="037D09AB" w14:textId="77777777" w:rsidR="00514612" w:rsidRDefault="00514612" w:rsidP="00514612">
            <w:pPr>
              <w:rPr>
                <w:b/>
              </w:rPr>
            </w:pPr>
          </w:p>
          <w:p w14:paraId="6EE888F0" w14:textId="5A850CF5" w:rsidR="00514612" w:rsidRDefault="00514612" w:rsidP="6EBF44DD">
            <w:pPr>
              <w:rPr>
                <w:b/>
                <w:bCs/>
              </w:rPr>
            </w:pPr>
            <w:r w:rsidRPr="6EBF44DD">
              <w:rPr>
                <w:b/>
                <w:bCs/>
              </w:rPr>
              <w:t xml:space="preserve">3.00pm </w:t>
            </w:r>
            <w:r w:rsidR="12248185" w:rsidRPr="639758DE">
              <w:rPr>
                <w:b/>
                <w:bCs/>
              </w:rPr>
              <w:t>1</w:t>
            </w:r>
            <w:r w:rsidR="2909A595" w:rsidRPr="639758DE">
              <w:rPr>
                <w:b/>
                <w:bCs/>
              </w:rPr>
              <w:t>8</w:t>
            </w:r>
            <w:r w:rsidR="12248185" w:rsidRPr="6EBF44DD">
              <w:rPr>
                <w:b/>
                <w:bCs/>
              </w:rPr>
              <w:t xml:space="preserve"> November</w:t>
            </w:r>
            <w:r w:rsidRPr="6EBF44DD">
              <w:rPr>
                <w:b/>
                <w:bCs/>
              </w:rPr>
              <w:t xml:space="preserve"> 2024 at Titanic Quarter Board Room and</w:t>
            </w:r>
            <w:r w:rsidRPr="6EBF44DD">
              <w:rPr>
                <w:b/>
                <w:bCs/>
                <w:color w:val="FF0000"/>
              </w:rPr>
              <w:t xml:space="preserve"> </w:t>
            </w:r>
            <w:r w:rsidRPr="6EBF44DD">
              <w:rPr>
                <w:b/>
                <w:bCs/>
              </w:rPr>
              <w:t xml:space="preserve">via Microsoft Teams  </w:t>
            </w:r>
          </w:p>
          <w:p w14:paraId="69DA4946" w14:textId="77777777" w:rsidR="00514612" w:rsidRDefault="00514612" w:rsidP="00514612">
            <w:pPr>
              <w:rPr>
                <w:b/>
              </w:rPr>
            </w:pPr>
          </w:p>
          <w:p w14:paraId="7639FB49" w14:textId="2CC8E264" w:rsidR="00514612" w:rsidRDefault="00514612" w:rsidP="00514612">
            <w:pPr>
              <w:rPr>
                <w:b/>
              </w:rPr>
            </w:pPr>
            <w:r>
              <w:rPr>
                <w:b/>
              </w:rPr>
              <w:t xml:space="preserve">Chair’s </w:t>
            </w:r>
            <w:r w:rsidRPr="00124151">
              <w:rPr>
                <w:b/>
              </w:rPr>
              <w:t>Agenda</w:t>
            </w:r>
            <w:r w:rsidRPr="00124151">
              <w:rPr>
                <w:b/>
                <w:color w:val="FF0000"/>
              </w:rPr>
              <w:t xml:space="preserve"> </w:t>
            </w:r>
            <w:r w:rsidR="009263DA">
              <w:rPr>
                <w:b/>
                <w:color w:val="FF0000"/>
              </w:rPr>
              <w:t xml:space="preserve"> </w:t>
            </w:r>
          </w:p>
          <w:p w14:paraId="296A1F33" w14:textId="77777777" w:rsidR="00514612" w:rsidRPr="00124151" w:rsidRDefault="00514612" w:rsidP="00514612">
            <w:pPr>
              <w:rPr>
                <w:b/>
              </w:rPr>
            </w:pPr>
          </w:p>
        </w:tc>
      </w:tr>
      <w:tr w:rsidR="00514612" w14:paraId="2AC24F42" w14:textId="77777777" w:rsidTr="6EBF44DD">
        <w:tc>
          <w:tcPr>
            <w:tcW w:w="9493" w:type="dxa"/>
            <w:gridSpan w:val="2"/>
          </w:tcPr>
          <w:p w14:paraId="77AD24E4" w14:textId="4E85032A" w:rsidR="00514612" w:rsidRDefault="00514612" w:rsidP="00514612">
            <w:r w:rsidRPr="00124151">
              <w:rPr>
                <w:b/>
              </w:rPr>
              <w:t xml:space="preserve">Committee Members:  </w:t>
            </w:r>
            <w:r w:rsidRPr="00124151">
              <w:t xml:space="preserve">Seamus McGoran (Chair); Bill Montgomery; </w:t>
            </w:r>
            <w:r w:rsidR="00A373EA">
              <w:t xml:space="preserve">and </w:t>
            </w:r>
            <w:r w:rsidRPr="00124151">
              <w:t>Rose Byrne</w:t>
            </w:r>
          </w:p>
          <w:p w14:paraId="486D30CB" w14:textId="77777777" w:rsidR="00514612" w:rsidRPr="00124151" w:rsidRDefault="00514612" w:rsidP="00514612">
            <w:pPr>
              <w:rPr>
                <w:b/>
              </w:rPr>
            </w:pPr>
          </w:p>
          <w:p w14:paraId="1FF5C03A" w14:textId="5A950DAD" w:rsidR="00514612" w:rsidRPr="001C088A" w:rsidRDefault="00514612" w:rsidP="00514612">
            <w:r w:rsidRPr="00124151">
              <w:rPr>
                <w:b/>
              </w:rPr>
              <w:t>Management</w:t>
            </w:r>
            <w:r w:rsidRPr="00124151">
              <w:t xml:space="preserve">: </w:t>
            </w:r>
            <w:r w:rsidRPr="00124151">
              <w:rPr>
                <w:b/>
              </w:rPr>
              <w:t xml:space="preserve"> </w:t>
            </w:r>
            <w:r w:rsidR="00DC35A2">
              <w:rPr>
                <w:bCs/>
              </w:rPr>
              <w:t>Damian Duffy, Interim Principal &amp; Chief Executive</w:t>
            </w:r>
            <w:r w:rsidR="00F65949">
              <w:rPr>
                <w:bCs/>
              </w:rPr>
              <w:t xml:space="preserve"> (PCE)</w:t>
            </w:r>
            <w:r w:rsidR="00DC35A2">
              <w:rPr>
                <w:bCs/>
              </w:rPr>
              <w:t xml:space="preserve">; </w:t>
            </w:r>
            <w:r w:rsidRPr="00124151">
              <w:rPr>
                <w:bCs/>
              </w:rPr>
              <w:t>Aidan Sloan</w:t>
            </w:r>
            <w:r w:rsidR="008D33C2">
              <w:rPr>
                <w:bCs/>
              </w:rPr>
              <w:t>e</w:t>
            </w:r>
            <w:r w:rsidRPr="00124151">
              <w:rPr>
                <w:bCs/>
              </w:rPr>
              <w:t>, Chief Operating Officer (COO</w:t>
            </w:r>
            <w:r w:rsidRPr="00124151">
              <w:t xml:space="preserve">); </w:t>
            </w:r>
            <w:r w:rsidR="00572E49">
              <w:t>Laura Allen,</w:t>
            </w:r>
            <w:r w:rsidRPr="00124151">
              <w:t xml:space="preserve"> Head of Finance (</w:t>
            </w:r>
            <w:proofErr w:type="spellStart"/>
            <w:r w:rsidRPr="00124151">
              <w:t>HoF</w:t>
            </w:r>
            <w:proofErr w:type="spellEnd"/>
            <w:r w:rsidRPr="00124151">
              <w:t>)</w:t>
            </w:r>
            <w:r w:rsidR="00572E49">
              <w:t>;</w:t>
            </w:r>
            <w:r w:rsidRPr="00124151">
              <w:t xml:space="preserve"> Lisa McCartney, Head of Corporate Development (HCD).</w:t>
            </w:r>
          </w:p>
          <w:p w14:paraId="31DC3ACD" w14:textId="77777777" w:rsidR="00514612" w:rsidRDefault="00514612" w:rsidP="00514612">
            <w:pPr>
              <w:rPr>
                <w:b/>
              </w:rPr>
            </w:pPr>
          </w:p>
          <w:p w14:paraId="68C89A1F" w14:textId="671EB732" w:rsidR="00514612" w:rsidRPr="00124151" w:rsidRDefault="00514612" w:rsidP="00514612">
            <w:r w:rsidRPr="00124151">
              <w:rPr>
                <w:b/>
              </w:rPr>
              <w:t>Auditors</w:t>
            </w:r>
            <w:r w:rsidR="00217102">
              <w:rPr>
                <w:b/>
              </w:rPr>
              <w:t xml:space="preserve">: </w:t>
            </w:r>
            <w:r w:rsidR="00217102">
              <w:rPr>
                <w:bCs/>
              </w:rPr>
              <w:t>K</w:t>
            </w:r>
            <w:r w:rsidR="00273CC4">
              <w:rPr>
                <w:bCs/>
              </w:rPr>
              <w:t>athy</w:t>
            </w:r>
            <w:r w:rsidR="00217102">
              <w:rPr>
                <w:bCs/>
              </w:rPr>
              <w:t xml:space="preserve"> </w:t>
            </w:r>
            <w:proofErr w:type="spellStart"/>
            <w:r w:rsidR="00D9601C">
              <w:rPr>
                <w:bCs/>
              </w:rPr>
              <w:t>Doey</w:t>
            </w:r>
            <w:proofErr w:type="spellEnd"/>
            <w:r w:rsidR="00217102">
              <w:rPr>
                <w:bCs/>
              </w:rPr>
              <w:t xml:space="preserve">, </w:t>
            </w:r>
            <w:r w:rsidR="00972DFF">
              <w:rPr>
                <w:bCs/>
              </w:rPr>
              <w:t>NIAO</w:t>
            </w:r>
            <w:r w:rsidRPr="00124151">
              <w:t xml:space="preserve">; </w:t>
            </w:r>
            <w:r w:rsidR="00E9706D">
              <w:t>J</w:t>
            </w:r>
            <w:r w:rsidR="00972DFF">
              <w:t xml:space="preserve">oanne Lipton, NIAO (on-line) </w:t>
            </w:r>
            <w:r w:rsidRPr="00124151">
              <w:t>Ian McCartney RSM</w:t>
            </w:r>
            <w:r w:rsidR="00B57A25">
              <w:t xml:space="preserve"> UK</w:t>
            </w:r>
            <w:r w:rsidR="00972DFF">
              <w:t xml:space="preserve"> (on-line)</w:t>
            </w:r>
            <w:r w:rsidRPr="00124151">
              <w:t>.</w:t>
            </w:r>
          </w:p>
          <w:p w14:paraId="72CD7452" w14:textId="77777777" w:rsidR="00514612" w:rsidRDefault="00514612" w:rsidP="00514612">
            <w:pPr>
              <w:rPr>
                <w:b/>
              </w:rPr>
            </w:pPr>
          </w:p>
          <w:p w14:paraId="4EF45E8E" w14:textId="44975916" w:rsidR="00514612" w:rsidRPr="00124151" w:rsidRDefault="00514612" w:rsidP="00514612">
            <w:r w:rsidRPr="00124151">
              <w:rPr>
                <w:b/>
              </w:rPr>
              <w:t xml:space="preserve">Observer: </w:t>
            </w:r>
            <w:r w:rsidR="007F0388">
              <w:rPr>
                <w:bCs/>
              </w:rPr>
              <w:t>Heather Sampson</w:t>
            </w:r>
            <w:r w:rsidRPr="00124151">
              <w:rPr>
                <w:bCs/>
              </w:rPr>
              <w:t xml:space="preserve">, </w:t>
            </w:r>
            <w:r w:rsidRPr="00124151">
              <w:t>Department for the Economy</w:t>
            </w:r>
            <w:r w:rsidR="00A373EA">
              <w:t xml:space="preserve"> (on-line)</w:t>
            </w:r>
          </w:p>
          <w:p w14:paraId="0FDC55AA" w14:textId="77777777" w:rsidR="00514612" w:rsidRDefault="00514612" w:rsidP="00514612">
            <w:pPr>
              <w:rPr>
                <w:b/>
              </w:rPr>
            </w:pPr>
          </w:p>
          <w:p w14:paraId="12CF19B3" w14:textId="284765F8" w:rsidR="00514612" w:rsidRPr="00124151" w:rsidRDefault="008C6F76" w:rsidP="00514612">
            <w:r>
              <w:rPr>
                <w:b/>
              </w:rPr>
              <w:t>Secretary</w:t>
            </w:r>
            <w:r w:rsidR="00514612" w:rsidRPr="00124151">
              <w:rPr>
                <w:b/>
              </w:rPr>
              <w:t xml:space="preserve"> to the Governing Body</w:t>
            </w:r>
            <w:r w:rsidR="00514612" w:rsidRPr="008C6F76">
              <w:rPr>
                <w:bCs/>
              </w:rPr>
              <w:t xml:space="preserve">:   </w:t>
            </w:r>
            <w:r w:rsidRPr="008C6F76">
              <w:rPr>
                <w:bCs/>
              </w:rPr>
              <w:t>Jim Woods</w:t>
            </w:r>
          </w:p>
          <w:p w14:paraId="2E19B1AF" w14:textId="77777777" w:rsidR="00514612" w:rsidRPr="00124151" w:rsidRDefault="00514612" w:rsidP="00514612">
            <w:pPr>
              <w:rPr>
                <w:b/>
              </w:rPr>
            </w:pPr>
          </w:p>
        </w:tc>
      </w:tr>
      <w:tr w:rsidR="00BD1A4F" w14:paraId="31B16334" w14:textId="77777777" w:rsidTr="00507060">
        <w:trPr>
          <w:trHeight w:val="735"/>
        </w:trPr>
        <w:tc>
          <w:tcPr>
            <w:tcW w:w="823" w:type="dxa"/>
            <w:vMerge w:val="restart"/>
          </w:tcPr>
          <w:p w14:paraId="7B6751CB" w14:textId="00AF8BAF" w:rsidR="00BD1A4F" w:rsidRDefault="00BD1A4F" w:rsidP="6EBF44DD">
            <w:pPr>
              <w:rPr>
                <w:b/>
                <w:bCs/>
                <w:color w:val="004E6C" w:themeColor="accent2" w:themeShade="80"/>
              </w:rPr>
            </w:pPr>
            <w:r w:rsidRPr="6EBF44DD">
              <w:rPr>
                <w:b/>
                <w:bCs/>
                <w:color w:val="004E6C" w:themeColor="accent2" w:themeShade="80"/>
              </w:rPr>
              <w:t>AC16 24/25</w:t>
            </w:r>
          </w:p>
          <w:p w14:paraId="45B9C923" w14:textId="77777777" w:rsidR="00BD1A4F" w:rsidRDefault="00BD1A4F" w:rsidP="00514612"/>
          <w:p w14:paraId="03662F3E" w14:textId="77777777" w:rsidR="00BD1A4F" w:rsidRPr="002B02BA" w:rsidRDefault="00BD1A4F" w:rsidP="00514612">
            <w:pPr>
              <w:rPr>
                <w:b/>
                <w:color w:val="004E6C" w:themeColor="accent2" w:themeShade="80"/>
              </w:rPr>
            </w:pPr>
          </w:p>
        </w:tc>
        <w:tc>
          <w:tcPr>
            <w:tcW w:w="8670" w:type="dxa"/>
            <w:vMerge w:val="restart"/>
          </w:tcPr>
          <w:p w14:paraId="22C1F9AF" w14:textId="79B1BF9A" w:rsidR="00BD1A4F" w:rsidRDefault="00BD1A4F" w:rsidP="009263DA">
            <w:pPr>
              <w:pStyle w:val="NormalWeb"/>
              <w:shd w:val="clear" w:color="auto" w:fill="FFFFFF"/>
              <w:spacing w:before="0" w:beforeAutospacing="0"/>
              <w:rPr>
                <w:rFonts w:asciiTheme="minorHAnsi" w:hAnsiTheme="minorHAnsi" w:cstheme="minorBidi"/>
                <w:color w:val="161B1C"/>
                <w:sz w:val="22"/>
                <w:szCs w:val="22"/>
              </w:rPr>
            </w:pPr>
            <w:r w:rsidRPr="105F1806">
              <w:rPr>
                <w:rFonts w:asciiTheme="minorHAnsi" w:hAnsiTheme="minorHAnsi" w:cstheme="minorBidi"/>
                <w:b/>
                <w:color w:val="161B1C"/>
                <w:sz w:val="22"/>
                <w:szCs w:val="22"/>
              </w:rPr>
              <w:t>Quorum</w:t>
            </w:r>
            <w:r w:rsidRPr="105F1806">
              <w:rPr>
                <w:rFonts w:asciiTheme="minorHAnsi" w:hAnsiTheme="minorHAnsi" w:cstheme="minorBidi"/>
                <w:color w:val="161B1C"/>
                <w:sz w:val="22"/>
                <w:szCs w:val="22"/>
              </w:rPr>
              <w:t xml:space="preserve">: The meeting </w:t>
            </w:r>
            <w:r>
              <w:rPr>
                <w:rFonts w:asciiTheme="minorHAnsi" w:hAnsiTheme="minorHAnsi" w:cstheme="minorBidi"/>
                <w:color w:val="161B1C"/>
                <w:sz w:val="22"/>
                <w:szCs w:val="22"/>
              </w:rPr>
              <w:t>was</w:t>
            </w:r>
            <w:r w:rsidRPr="105F1806">
              <w:rPr>
                <w:rFonts w:asciiTheme="minorHAnsi" w:hAnsiTheme="minorHAnsi" w:cstheme="minorBidi"/>
                <w:color w:val="161B1C"/>
                <w:sz w:val="22"/>
                <w:szCs w:val="22"/>
              </w:rPr>
              <w:t xml:space="preserve"> quorate under the terms of Section 2 of Belfast Metropolitan College Audit and Risk Assurance Committee: Terms of Reference </w:t>
            </w:r>
            <w:r w:rsidRPr="105F1806">
              <w:rPr>
                <w:rFonts w:asciiTheme="minorHAnsi" w:hAnsiTheme="minorHAnsi" w:cstheme="minorBidi"/>
                <w:sz w:val="22"/>
                <w:szCs w:val="22"/>
              </w:rPr>
              <w:t>V4 </w:t>
            </w:r>
            <w:r w:rsidRPr="105F1806">
              <w:rPr>
                <w:rFonts w:asciiTheme="minorHAnsi" w:hAnsiTheme="minorHAnsi" w:cstheme="minorBidi"/>
                <w:color w:val="161B1C"/>
                <w:sz w:val="22"/>
                <w:szCs w:val="22"/>
              </w:rPr>
              <w:t>22 June 2022 approved at </w:t>
            </w:r>
            <w:r w:rsidRPr="105F1806">
              <w:rPr>
                <w:rFonts w:asciiTheme="minorHAnsi" w:hAnsiTheme="minorHAnsi" w:cstheme="minorBidi"/>
                <w:b/>
                <w:color w:val="161B1C"/>
                <w:sz w:val="22"/>
                <w:szCs w:val="22"/>
              </w:rPr>
              <w:t>GB81 21/22 22 June 2022 </w:t>
            </w:r>
            <w:r w:rsidRPr="105F1806">
              <w:rPr>
                <w:rFonts w:asciiTheme="minorHAnsi" w:hAnsiTheme="minorHAnsi" w:cstheme="minorBidi"/>
                <w:color w:val="161B1C"/>
                <w:sz w:val="22"/>
                <w:szCs w:val="22"/>
              </w:rPr>
              <w:t>(3 governors).</w:t>
            </w:r>
          </w:p>
          <w:p w14:paraId="29DC2897" w14:textId="24F70FC9" w:rsidR="00BD1A4F" w:rsidRPr="009263DA" w:rsidRDefault="00BD1A4F" w:rsidP="009263DA">
            <w:pPr>
              <w:pStyle w:val="NormalWeb"/>
              <w:shd w:val="clear" w:color="auto" w:fill="FFFFFF"/>
              <w:spacing w:before="0" w:beforeAutospacing="0"/>
              <w:rPr>
                <w:rFonts w:asciiTheme="minorHAnsi" w:hAnsiTheme="minorHAnsi" w:cstheme="minorHAnsi"/>
                <w:color w:val="161B1C"/>
                <w:sz w:val="22"/>
                <w:szCs w:val="22"/>
              </w:rPr>
            </w:pPr>
            <w:r w:rsidRPr="6B665B67">
              <w:rPr>
                <w:rFonts w:asciiTheme="minorHAnsi" w:hAnsiTheme="minorHAnsi" w:cstheme="minorBidi"/>
                <w:b/>
                <w:bCs/>
                <w:color w:val="161B1C"/>
                <w:sz w:val="22"/>
                <w:szCs w:val="22"/>
              </w:rPr>
              <w:t>Apologies</w:t>
            </w:r>
            <w:r w:rsidRPr="6B665B67">
              <w:rPr>
                <w:rFonts w:asciiTheme="minorHAnsi" w:hAnsiTheme="minorHAnsi" w:cstheme="minorBidi"/>
                <w:color w:val="161B1C"/>
                <w:sz w:val="22"/>
                <w:szCs w:val="22"/>
              </w:rPr>
              <w:t>: </w:t>
            </w:r>
            <w:r>
              <w:rPr>
                <w:rFonts w:asciiTheme="minorHAnsi" w:hAnsiTheme="minorHAnsi" w:cstheme="minorBidi"/>
                <w:color w:val="161B1C"/>
                <w:sz w:val="22"/>
                <w:szCs w:val="22"/>
              </w:rPr>
              <w:t>Sinead Sharpe</w:t>
            </w:r>
          </w:p>
          <w:p w14:paraId="001ECA11" w14:textId="555A9694" w:rsidR="00BD1A4F" w:rsidRPr="009263DA" w:rsidRDefault="00BD1A4F" w:rsidP="6B665B67">
            <w:pPr>
              <w:pStyle w:val="NormalWeb"/>
              <w:shd w:val="clear" w:color="auto" w:fill="FFFFFF" w:themeFill="background1"/>
              <w:spacing w:before="0" w:beforeAutospacing="0"/>
              <w:ind w:right="-108"/>
              <w:rPr>
                <w:rFonts w:asciiTheme="minorHAnsi" w:hAnsiTheme="minorHAnsi" w:cstheme="minorBidi"/>
                <w:color w:val="161B1C"/>
                <w:sz w:val="22"/>
                <w:szCs w:val="22"/>
              </w:rPr>
            </w:pPr>
            <w:r w:rsidRPr="6EBF44DD">
              <w:rPr>
                <w:rFonts w:asciiTheme="minorHAnsi" w:hAnsiTheme="minorHAnsi" w:cstheme="minorBidi"/>
                <w:b/>
                <w:bCs/>
                <w:color w:val="161B1C"/>
                <w:sz w:val="22"/>
                <w:szCs w:val="22"/>
              </w:rPr>
              <w:t>Welcome</w:t>
            </w:r>
            <w:r w:rsidRPr="6EBF44DD">
              <w:rPr>
                <w:rFonts w:asciiTheme="minorHAnsi" w:hAnsiTheme="minorHAnsi" w:cstheme="minorBidi"/>
                <w:color w:val="161B1C"/>
                <w:sz w:val="22"/>
                <w:szCs w:val="22"/>
              </w:rPr>
              <w:t xml:space="preserve">: </w:t>
            </w:r>
            <w:r>
              <w:rPr>
                <w:rFonts w:asciiTheme="minorHAnsi" w:hAnsiTheme="minorHAnsi" w:cstheme="minorBidi"/>
                <w:color w:val="161B1C"/>
                <w:sz w:val="22"/>
                <w:szCs w:val="22"/>
              </w:rPr>
              <w:t xml:space="preserve">The Chair welcomed </w:t>
            </w:r>
            <w:r w:rsidRPr="6EBF44DD">
              <w:rPr>
                <w:rFonts w:asciiTheme="minorHAnsi" w:hAnsiTheme="minorHAnsi" w:cstheme="minorBidi"/>
                <w:color w:val="161B1C"/>
                <w:sz w:val="22"/>
                <w:szCs w:val="22"/>
              </w:rPr>
              <w:t xml:space="preserve">Jim Woods to first meeting as the Secretary to the Governing Body </w:t>
            </w:r>
          </w:p>
          <w:p w14:paraId="253A4444" w14:textId="7B8CCC56" w:rsidR="00BD1A4F" w:rsidRDefault="00BD1A4F" w:rsidP="6EBF44DD">
            <w:pPr>
              <w:pStyle w:val="NormalWeb"/>
              <w:shd w:val="clear" w:color="auto" w:fill="FFFFFF" w:themeFill="background1"/>
              <w:spacing w:before="0" w:beforeAutospacing="0"/>
              <w:rPr>
                <w:rFonts w:asciiTheme="minorHAnsi" w:hAnsiTheme="minorHAnsi" w:cstheme="minorBidi"/>
                <w:color w:val="161B1C"/>
                <w:sz w:val="22"/>
                <w:szCs w:val="22"/>
              </w:rPr>
            </w:pPr>
            <w:r w:rsidRPr="6EBF44DD">
              <w:rPr>
                <w:rFonts w:asciiTheme="minorHAnsi" w:hAnsiTheme="minorHAnsi" w:cstheme="minorBidi"/>
                <w:b/>
                <w:bCs/>
                <w:color w:val="161B1C"/>
                <w:sz w:val="22"/>
                <w:szCs w:val="22"/>
              </w:rPr>
              <w:t>Conflicts of Interest</w:t>
            </w:r>
            <w:r w:rsidRPr="6EBF44DD">
              <w:rPr>
                <w:rFonts w:asciiTheme="minorHAnsi" w:hAnsiTheme="minorHAnsi" w:cstheme="minorBidi"/>
                <w:color w:val="161B1C"/>
                <w:sz w:val="22"/>
                <w:szCs w:val="22"/>
              </w:rPr>
              <w:t>: </w:t>
            </w:r>
            <w:r>
              <w:rPr>
                <w:rFonts w:asciiTheme="minorHAnsi" w:hAnsiTheme="minorHAnsi" w:cstheme="minorBidi"/>
                <w:color w:val="161B1C"/>
                <w:sz w:val="22"/>
                <w:szCs w:val="22"/>
              </w:rPr>
              <w:t>There were no</w:t>
            </w:r>
            <w:r w:rsidRPr="6EBF44DD">
              <w:rPr>
                <w:rFonts w:asciiTheme="minorHAnsi" w:hAnsiTheme="minorHAnsi" w:cstheme="minorBidi"/>
                <w:color w:val="161B1C"/>
                <w:sz w:val="22"/>
                <w:szCs w:val="22"/>
              </w:rPr>
              <w:t xml:space="preserve"> conflicts of interest </w:t>
            </w:r>
            <w:r>
              <w:rPr>
                <w:rFonts w:asciiTheme="minorHAnsi" w:hAnsiTheme="minorHAnsi" w:cstheme="minorBidi"/>
                <w:color w:val="161B1C"/>
                <w:sz w:val="22"/>
                <w:szCs w:val="22"/>
              </w:rPr>
              <w:t xml:space="preserve">declared </w:t>
            </w:r>
            <w:r w:rsidRPr="6EBF44DD">
              <w:rPr>
                <w:rFonts w:asciiTheme="minorHAnsi" w:hAnsiTheme="minorHAnsi" w:cstheme="minorBidi"/>
                <w:color w:val="161B1C"/>
                <w:sz w:val="22"/>
                <w:szCs w:val="22"/>
              </w:rPr>
              <w:t>under the terms of Section 8.1 of the Belfast Metropolitan College Governing Body Standing Orders </w:t>
            </w:r>
            <w:r w:rsidRPr="00C61E4A">
              <w:rPr>
                <w:rFonts w:asciiTheme="minorHAnsi" w:hAnsiTheme="minorHAnsi" w:cstheme="minorBidi"/>
                <w:sz w:val="22"/>
                <w:szCs w:val="22"/>
              </w:rPr>
              <w:t xml:space="preserve">V5 dated </w:t>
            </w:r>
            <w:r w:rsidRPr="6EBF44DD">
              <w:rPr>
                <w:rFonts w:asciiTheme="minorHAnsi" w:hAnsiTheme="minorHAnsi" w:cstheme="minorBidi"/>
                <w:color w:val="161B1C"/>
                <w:sz w:val="22"/>
                <w:szCs w:val="22"/>
              </w:rPr>
              <w:t>June 2022 (</w:t>
            </w:r>
            <w:r w:rsidRPr="6EBF44DD">
              <w:rPr>
                <w:rFonts w:asciiTheme="minorHAnsi" w:hAnsiTheme="minorHAnsi" w:cstheme="minorBidi"/>
                <w:b/>
                <w:bCs/>
                <w:color w:val="161B1C"/>
                <w:sz w:val="22"/>
                <w:szCs w:val="22"/>
              </w:rPr>
              <w:t>GB81a 21/22 22 June 2022</w:t>
            </w:r>
            <w:r w:rsidRPr="6EBF44DD">
              <w:rPr>
                <w:rFonts w:asciiTheme="minorHAnsi" w:hAnsiTheme="minorHAnsi" w:cstheme="minorBidi"/>
                <w:color w:val="161B1C"/>
                <w:sz w:val="22"/>
                <w:szCs w:val="22"/>
              </w:rPr>
              <w:t xml:space="preserve">). </w:t>
            </w:r>
          </w:p>
          <w:p w14:paraId="48B748EF" w14:textId="287626F7" w:rsidR="00BD1A4F" w:rsidRDefault="00BD1A4F" w:rsidP="6EBF44DD">
            <w:pPr>
              <w:pStyle w:val="NormalWeb"/>
              <w:shd w:val="clear" w:color="auto" w:fill="FFFFFF" w:themeFill="background1"/>
              <w:spacing w:before="0" w:beforeAutospacing="0"/>
              <w:rPr>
                <w:rFonts w:asciiTheme="minorHAnsi" w:hAnsiTheme="minorHAnsi" w:cstheme="minorBidi"/>
                <w:color w:val="161B1C"/>
                <w:sz w:val="22"/>
                <w:szCs w:val="22"/>
              </w:rPr>
            </w:pPr>
            <w:r w:rsidRPr="6EBF44DD">
              <w:rPr>
                <w:rFonts w:asciiTheme="minorHAnsi" w:hAnsiTheme="minorHAnsi" w:cstheme="minorBidi"/>
                <w:b/>
                <w:bCs/>
                <w:color w:val="161B1C"/>
                <w:sz w:val="22"/>
                <w:szCs w:val="22"/>
              </w:rPr>
              <w:t>Leadership Culture</w:t>
            </w:r>
            <w:r w:rsidRPr="6EBF44DD">
              <w:rPr>
                <w:rFonts w:asciiTheme="minorHAnsi" w:hAnsiTheme="minorHAnsi" w:cstheme="minorBidi"/>
                <w:color w:val="161B1C"/>
                <w:sz w:val="22"/>
                <w:szCs w:val="22"/>
              </w:rPr>
              <w:t>: Chair note</w:t>
            </w:r>
            <w:r>
              <w:rPr>
                <w:rFonts w:asciiTheme="minorHAnsi" w:hAnsiTheme="minorHAnsi" w:cstheme="minorBidi"/>
                <w:color w:val="161B1C"/>
                <w:sz w:val="22"/>
                <w:szCs w:val="22"/>
              </w:rPr>
              <w:t xml:space="preserve">d the committees ongoing </w:t>
            </w:r>
            <w:r w:rsidRPr="6EBF44DD">
              <w:rPr>
                <w:rFonts w:asciiTheme="minorHAnsi" w:hAnsiTheme="minorHAnsi" w:cstheme="minorBidi"/>
                <w:color w:val="161B1C"/>
                <w:sz w:val="22"/>
                <w:szCs w:val="22"/>
              </w:rPr>
              <w:t xml:space="preserve">commitment to Governing Body Leadership Culture Watchwords (GB02d 22/23 21 September 2022 refers):  </w:t>
            </w:r>
          </w:p>
          <w:p w14:paraId="035B9B9C" w14:textId="77777777" w:rsidR="00BD1A4F" w:rsidRDefault="00BD1A4F" w:rsidP="00514612">
            <w:pPr>
              <w:pStyle w:val="NormalWeb"/>
              <w:shd w:val="clear" w:color="auto" w:fill="FFFFFF"/>
              <w:spacing w:before="0" w:beforeAutospacing="0"/>
              <w:rPr>
                <w:rFonts w:asciiTheme="minorHAnsi" w:hAnsiTheme="minorHAnsi" w:cstheme="minorBidi"/>
                <w:color w:val="104A5A"/>
                <w:sz w:val="22"/>
                <w:szCs w:val="22"/>
              </w:rPr>
            </w:pPr>
            <w:r w:rsidRPr="105F1806">
              <w:rPr>
                <w:rFonts w:asciiTheme="minorHAnsi" w:hAnsiTheme="minorHAnsi" w:cstheme="minorBidi"/>
                <w:color w:val="161B1C"/>
                <w:sz w:val="22"/>
                <w:szCs w:val="22"/>
              </w:rPr>
              <w:t>Courageous / Creative / Candour / Challenge </w:t>
            </w:r>
            <w:r w:rsidRPr="105F1806">
              <w:rPr>
                <w:rFonts w:asciiTheme="minorHAnsi" w:hAnsiTheme="minorHAnsi" w:cstheme="minorBidi"/>
                <w:color w:val="104A5A"/>
                <w:sz w:val="22"/>
                <w:szCs w:val="22"/>
              </w:rPr>
              <w:t> </w:t>
            </w:r>
          </w:p>
          <w:p w14:paraId="31276C00" w14:textId="367F29BF" w:rsidR="00BD1A4F" w:rsidRPr="00E70B0F" w:rsidRDefault="00BD1A4F" w:rsidP="00514612">
            <w:pPr>
              <w:pStyle w:val="NormalWeb"/>
              <w:shd w:val="clear" w:color="auto" w:fill="FFFFFF"/>
              <w:spacing w:before="0" w:beforeAutospacing="0"/>
              <w:rPr>
                <w:rFonts w:asciiTheme="minorHAnsi" w:hAnsiTheme="minorHAnsi" w:cstheme="minorBidi"/>
                <w:color w:val="161B1C"/>
                <w:sz w:val="22"/>
                <w:szCs w:val="22"/>
              </w:rPr>
            </w:pPr>
            <w:r w:rsidRPr="105F1806">
              <w:rPr>
                <w:rFonts w:asciiTheme="minorHAnsi" w:hAnsiTheme="minorHAnsi" w:cstheme="minorBidi"/>
                <w:b/>
                <w:bCs/>
                <w:color w:val="104A5A"/>
                <w:sz w:val="22"/>
                <w:szCs w:val="22"/>
              </w:rPr>
              <w:t>AC28</w:t>
            </w:r>
            <w:r w:rsidRPr="105F1806">
              <w:rPr>
                <w:rFonts w:asciiTheme="minorHAnsi" w:hAnsiTheme="minorHAnsi" w:cstheme="minorBidi"/>
                <w:b/>
                <w:color w:val="104A5A"/>
                <w:sz w:val="22"/>
                <w:szCs w:val="22"/>
              </w:rPr>
              <w:t xml:space="preserve"> </w:t>
            </w:r>
            <w:r>
              <w:rPr>
                <w:rFonts w:asciiTheme="minorHAnsi" w:hAnsiTheme="minorHAnsi" w:cstheme="minorBidi"/>
                <w:b/>
                <w:color w:val="104A5A"/>
                <w:sz w:val="22"/>
                <w:szCs w:val="22"/>
              </w:rPr>
              <w:t>24/25</w:t>
            </w:r>
            <w:r w:rsidRPr="105F1806">
              <w:rPr>
                <w:rFonts w:asciiTheme="minorHAnsi" w:hAnsiTheme="minorHAnsi" w:cstheme="minorBidi"/>
                <w:b/>
                <w:color w:val="104A5A"/>
                <w:sz w:val="22"/>
                <w:szCs w:val="22"/>
              </w:rPr>
              <w:t> </w:t>
            </w:r>
            <w:r w:rsidRPr="105F1806">
              <w:rPr>
                <w:rFonts w:asciiTheme="minorHAnsi" w:hAnsiTheme="minorHAnsi" w:cstheme="minorBidi"/>
                <w:color w:val="161B1C"/>
                <w:sz w:val="22"/>
                <w:szCs w:val="22"/>
              </w:rPr>
              <w:t>below refers.</w:t>
            </w:r>
          </w:p>
          <w:p w14:paraId="50670428" w14:textId="77777777" w:rsidR="00BD1A4F" w:rsidRPr="00E70B0F" w:rsidRDefault="00BD1A4F" w:rsidP="00514612">
            <w:pPr>
              <w:pStyle w:val="NormalWeb"/>
              <w:shd w:val="clear" w:color="auto" w:fill="FFFFFF"/>
              <w:spacing w:before="0" w:beforeAutospacing="0"/>
              <w:rPr>
                <w:rFonts w:asciiTheme="minorHAnsi" w:hAnsiTheme="minorHAnsi" w:cstheme="minorHAnsi"/>
                <w:b/>
                <w:sz w:val="22"/>
                <w:szCs w:val="22"/>
              </w:rPr>
            </w:pPr>
          </w:p>
        </w:tc>
      </w:tr>
      <w:tr w:rsidR="00BD1A4F" w14:paraId="5AF22D04" w14:textId="77777777" w:rsidTr="00507060">
        <w:trPr>
          <w:trHeight w:val="3446"/>
        </w:trPr>
        <w:tc>
          <w:tcPr>
            <w:tcW w:w="823" w:type="dxa"/>
            <w:vMerge/>
          </w:tcPr>
          <w:p w14:paraId="7D3795BB" w14:textId="77777777" w:rsidR="00BD1A4F" w:rsidRDefault="00BD1A4F" w:rsidP="00514612">
            <w:pPr>
              <w:rPr>
                <w:b/>
                <w:color w:val="004E6C" w:themeColor="accent2" w:themeShade="80"/>
              </w:rPr>
            </w:pPr>
          </w:p>
        </w:tc>
        <w:tc>
          <w:tcPr>
            <w:tcW w:w="8670" w:type="dxa"/>
            <w:vMerge/>
          </w:tcPr>
          <w:p w14:paraId="587830F3" w14:textId="77777777" w:rsidR="00BD1A4F" w:rsidRPr="00E70B0F" w:rsidRDefault="00BD1A4F" w:rsidP="00514612">
            <w:pPr>
              <w:pStyle w:val="NormalWeb"/>
              <w:shd w:val="clear" w:color="auto" w:fill="FFFFFF"/>
              <w:spacing w:before="0" w:beforeAutospacing="0"/>
              <w:rPr>
                <w:rFonts w:asciiTheme="minorHAnsi" w:hAnsiTheme="minorHAnsi" w:cstheme="minorHAnsi"/>
                <w:b/>
                <w:bCs/>
                <w:color w:val="161B1C"/>
                <w:sz w:val="22"/>
                <w:szCs w:val="22"/>
              </w:rPr>
            </w:pPr>
          </w:p>
        </w:tc>
      </w:tr>
      <w:tr w:rsidR="00BD1A4F" w14:paraId="2970EF17" w14:textId="77777777" w:rsidTr="00507060">
        <w:trPr>
          <w:trHeight w:val="557"/>
        </w:trPr>
        <w:tc>
          <w:tcPr>
            <w:tcW w:w="823" w:type="dxa"/>
          </w:tcPr>
          <w:p w14:paraId="1ED355D7" w14:textId="49F173AD" w:rsidR="00BD1A4F" w:rsidRDefault="00BD1A4F" w:rsidP="00514612">
            <w:pPr>
              <w:rPr>
                <w:b/>
                <w:color w:val="004E6C" w:themeColor="accent2" w:themeShade="80"/>
              </w:rPr>
            </w:pPr>
          </w:p>
        </w:tc>
        <w:tc>
          <w:tcPr>
            <w:tcW w:w="8670" w:type="dxa"/>
            <w:vMerge/>
          </w:tcPr>
          <w:p w14:paraId="2C90E276" w14:textId="77777777" w:rsidR="00BD1A4F" w:rsidRPr="00E70B0F" w:rsidRDefault="00BD1A4F" w:rsidP="00514612">
            <w:pPr>
              <w:pStyle w:val="NormalWeb"/>
              <w:shd w:val="clear" w:color="auto" w:fill="FFFFFF"/>
              <w:spacing w:before="0" w:beforeAutospacing="0"/>
              <w:rPr>
                <w:rFonts w:asciiTheme="minorHAnsi" w:hAnsiTheme="minorHAnsi" w:cstheme="minorHAnsi"/>
                <w:b/>
                <w:bCs/>
                <w:color w:val="161B1C"/>
                <w:sz w:val="22"/>
                <w:szCs w:val="22"/>
              </w:rPr>
            </w:pPr>
          </w:p>
        </w:tc>
      </w:tr>
    </w:tbl>
    <w:p w14:paraId="4CEE7217" w14:textId="77777777" w:rsidR="0037052F" w:rsidRDefault="0037052F" w:rsidP="0088655A">
      <w:pPr>
        <w:tabs>
          <w:tab w:val="left" w:pos="7965"/>
        </w:tabs>
      </w:pPr>
    </w:p>
    <w:p w14:paraId="5878E70E" w14:textId="09B0D1C7" w:rsidR="0037052F" w:rsidRDefault="0037052F" w:rsidP="0088655A">
      <w:pPr>
        <w:tabs>
          <w:tab w:val="left" w:pos="7965"/>
        </w:tabs>
      </w:pPr>
    </w:p>
    <w:sdt>
      <w:sdtPr>
        <w:id w:val="-87543873"/>
        <w:docPartObj>
          <w:docPartGallery w:val="Cover Pages"/>
          <w:docPartUnique/>
        </w:docPartObj>
      </w:sdtPr>
      <w:sdtEndPr/>
      <w:sdtContent>
        <w:p w14:paraId="36E4D59A" w14:textId="13FE2B6C" w:rsidR="001C088A" w:rsidRDefault="0057042D" w:rsidP="0057042D">
          <w:pPr>
            <w:tabs>
              <w:tab w:val="left" w:pos="1320"/>
            </w:tabs>
          </w:pPr>
          <w:r>
            <w:tab/>
          </w:r>
        </w:p>
        <w:p w14:paraId="3BB5B777" w14:textId="439EAF9F" w:rsidR="00A47397" w:rsidRDefault="0088655A" w:rsidP="00CB4FF1">
          <w:pPr>
            <w:tabs>
              <w:tab w:val="left" w:pos="7965"/>
            </w:tabs>
          </w:pPr>
          <w:r>
            <w:tab/>
          </w:r>
        </w:p>
        <w:tbl>
          <w:tblPr>
            <w:tblStyle w:val="TableGrid"/>
            <w:tblW w:w="5265" w:type="pct"/>
            <w:tblLayout w:type="fixed"/>
            <w:tblLook w:val="04A0" w:firstRow="1" w:lastRow="0" w:firstColumn="1" w:lastColumn="0" w:noHBand="0" w:noVBand="1"/>
          </w:tblPr>
          <w:tblGrid>
            <w:gridCol w:w="1132"/>
            <w:gridCol w:w="8362"/>
          </w:tblGrid>
          <w:tr w:rsidR="00BD1A4F" w:rsidRPr="00696BE4" w14:paraId="130B67D7" w14:textId="3896581B" w:rsidTr="00507060">
            <w:trPr>
              <w:tblHeader/>
            </w:trPr>
            <w:tc>
              <w:tcPr>
                <w:tcW w:w="5000" w:type="pct"/>
                <w:gridSpan w:val="2"/>
                <w:shd w:val="clear" w:color="auto" w:fill="4389D7" w:themeFill="text2" w:themeFillTint="99"/>
              </w:tcPr>
              <w:p w14:paraId="454C1697" w14:textId="743F973E" w:rsidR="00BD1A4F" w:rsidRPr="00696BE4" w:rsidRDefault="0099719C" w:rsidP="0088655A">
                <w:pPr>
                  <w:tabs>
                    <w:tab w:val="right" w:pos="9026"/>
                  </w:tabs>
                  <w:rPr>
                    <w:b/>
                  </w:rPr>
                </w:pPr>
                <w:r>
                  <w:rPr>
                    <w:b/>
                  </w:rPr>
                  <w:lastRenderedPageBreak/>
                  <w:t xml:space="preserve">Minutes </w:t>
                </w:r>
                <w:r w:rsidR="00DB56EA">
                  <w:rPr>
                    <w:b/>
                  </w:rPr>
                  <w:t>18 November 2024</w:t>
                </w:r>
              </w:p>
            </w:tc>
          </w:tr>
          <w:tr w:rsidR="00BD1A4F" w14:paraId="663A2E19" w14:textId="79B77217" w:rsidTr="00507060">
            <w:tc>
              <w:tcPr>
                <w:tcW w:w="596" w:type="pct"/>
              </w:tcPr>
              <w:p w14:paraId="35850C8A" w14:textId="55D7138A" w:rsidR="00BD1A4F" w:rsidRDefault="00BD1A4F" w:rsidP="6EBF44DD">
                <w:pPr>
                  <w:rPr>
                    <w:b/>
                    <w:bCs/>
                    <w:color w:val="004E6C" w:themeColor="accent2" w:themeShade="80"/>
                  </w:rPr>
                </w:pPr>
                <w:r w:rsidRPr="6EBF44DD">
                  <w:rPr>
                    <w:b/>
                    <w:bCs/>
                    <w:color w:val="004E6C" w:themeColor="accent2" w:themeShade="80"/>
                  </w:rPr>
                  <w:t>AC17</w:t>
                </w:r>
              </w:p>
              <w:p w14:paraId="16D5F73E" w14:textId="4E97EDA7" w:rsidR="00BD1A4F" w:rsidRDefault="00BD1A4F" w:rsidP="00F63636">
                <w:pPr>
                  <w:rPr>
                    <w:b/>
                    <w:color w:val="004E6C" w:themeColor="accent2" w:themeShade="80"/>
                  </w:rPr>
                </w:pPr>
                <w:r>
                  <w:rPr>
                    <w:b/>
                    <w:color w:val="004E6C" w:themeColor="accent2" w:themeShade="80"/>
                  </w:rPr>
                  <w:t>24/25</w:t>
                </w:r>
              </w:p>
            </w:tc>
            <w:tc>
              <w:tcPr>
                <w:tcW w:w="4404" w:type="pct"/>
              </w:tcPr>
              <w:p w14:paraId="5DBAE24D" w14:textId="3577D30F" w:rsidR="00BD1A4F" w:rsidRPr="00E822CB" w:rsidRDefault="00BD1A4F" w:rsidP="00B5567E">
                <w:pPr>
                  <w:rPr>
                    <w:b/>
                  </w:rPr>
                </w:pPr>
                <w:r w:rsidRPr="00CE0F51">
                  <w:rPr>
                    <w:b/>
                  </w:rPr>
                  <w:t>Minutes o</w:t>
                </w:r>
                <w:r>
                  <w:rPr>
                    <w:b/>
                  </w:rPr>
                  <w:t xml:space="preserve">f the meeting held on </w:t>
                </w:r>
                <w:r w:rsidRPr="105F1806">
                  <w:rPr>
                    <w:b/>
                    <w:bCs/>
                  </w:rPr>
                  <w:t>16 Sept</w:t>
                </w:r>
                <w:r>
                  <w:rPr>
                    <w:b/>
                  </w:rPr>
                  <w:t xml:space="preserve"> 2024- </w:t>
                </w:r>
              </w:p>
              <w:p w14:paraId="65889676" w14:textId="77777777" w:rsidR="00BD1A4F" w:rsidRDefault="00BD1A4F" w:rsidP="00B5567E">
                <w:pPr>
                  <w:rPr>
                    <w:b/>
                  </w:rPr>
                </w:pPr>
              </w:p>
              <w:p w14:paraId="3E980B36" w14:textId="2A3C3891" w:rsidR="00BD1A4F" w:rsidRDefault="00BD1A4F" w:rsidP="008131A2">
                <w:r>
                  <w:t>The Committee agreed the</w:t>
                </w:r>
                <w:r w:rsidRPr="00DA6BA9">
                  <w:t xml:space="preserve"> minutes</w:t>
                </w:r>
                <w:r>
                  <w:t xml:space="preserve"> of the previous meeting.</w:t>
                </w:r>
              </w:p>
              <w:p w14:paraId="297AC73D" w14:textId="2DE164D9" w:rsidR="00BD1A4F" w:rsidRPr="008131A2" w:rsidRDefault="00BD1A4F" w:rsidP="008131A2"/>
            </w:tc>
          </w:tr>
          <w:tr w:rsidR="00BD1A4F" w14:paraId="22D87AF0" w14:textId="63237E4E" w:rsidTr="00507060">
            <w:tc>
              <w:tcPr>
                <w:tcW w:w="596" w:type="pct"/>
              </w:tcPr>
              <w:p w14:paraId="7E84CC97" w14:textId="3666E67D" w:rsidR="00BD1A4F" w:rsidRDefault="00BD1A4F" w:rsidP="6EBF44DD">
                <w:pPr>
                  <w:rPr>
                    <w:b/>
                    <w:bCs/>
                    <w:color w:val="004E6C" w:themeColor="accent2" w:themeShade="80"/>
                  </w:rPr>
                </w:pPr>
                <w:r w:rsidRPr="6EBF44DD">
                  <w:rPr>
                    <w:b/>
                    <w:bCs/>
                    <w:color w:val="004E6C" w:themeColor="accent2" w:themeShade="80"/>
                  </w:rPr>
                  <w:t>AC18</w:t>
                </w:r>
              </w:p>
              <w:p w14:paraId="428EAA6A" w14:textId="47A9AD2C" w:rsidR="00BD1A4F" w:rsidRDefault="00BD1A4F" w:rsidP="00644100">
                <w:pPr>
                  <w:rPr>
                    <w:b/>
                    <w:color w:val="004E6C" w:themeColor="accent2" w:themeShade="80"/>
                  </w:rPr>
                </w:pPr>
                <w:r>
                  <w:rPr>
                    <w:b/>
                    <w:color w:val="004E6C" w:themeColor="accent2" w:themeShade="80"/>
                  </w:rPr>
                  <w:t>24/25</w:t>
                </w:r>
              </w:p>
            </w:tc>
            <w:tc>
              <w:tcPr>
                <w:tcW w:w="4404" w:type="pct"/>
              </w:tcPr>
              <w:p w14:paraId="5375F4D9" w14:textId="790A491F" w:rsidR="00BD1A4F" w:rsidRDefault="00BD1A4F" w:rsidP="00B5567E">
                <w:pPr>
                  <w:rPr>
                    <w:b/>
                  </w:rPr>
                </w:pPr>
                <w:r w:rsidRPr="00CE0F51">
                  <w:rPr>
                    <w:b/>
                  </w:rPr>
                  <w:t>Matters Arising from the minutes of</w:t>
                </w:r>
                <w:r>
                  <w:rPr>
                    <w:b/>
                  </w:rPr>
                  <w:t xml:space="preserve"> the meeting held on </w:t>
                </w:r>
                <w:r w:rsidRPr="105F1806">
                  <w:rPr>
                    <w:b/>
                    <w:bCs/>
                  </w:rPr>
                  <w:t>16 Sept 2024</w:t>
                </w:r>
              </w:p>
              <w:p w14:paraId="62D16A10" w14:textId="77777777" w:rsidR="00BD1A4F" w:rsidRDefault="00BD1A4F" w:rsidP="00B5567E"/>
              <w:p w14:paraId="7EABC7D0" w14:textId="2D7ACFC0" w:rsidR="00BD1A4F" w:rsidRDefault="00BD1A4F" w:rsidP="00B5567E">
                <w:r>
                  <w:t>There were no matters arising that are not on the agenda of this governance meeting.</w:t>
                </w:r>
              </w:p>
              <w:p w14:paraId="762C76DA" w14:textId="16DEDC07" w:rsidR="00BD1A4F" w:rsidRPr="00B5567E" w:rsidRDefault="00BD1A4F" w:rsidP="00B5567E">
                <w:pPr>
                  <w:rPr>
                    <w:b/>
                  </w:rPr>
                </w:pPr>
              </w:p>
            </w:tc>
          </w:tr>
          <w:tr w:rsidR="00BD1A4F" w14:paraId="1BD73381" w14:textId="77193BC7" w:rsidTr="00507060">
            <w:tc>
              <w:tcPr>
                <w:tcW w:w="596" w:type="pct"/>
              </w:tcPr>
              <w:p w14:paraId="78F4E0B5" w14:textId="0D875C73" w:rsidR="00BD1A4F" w:rsidRDefault="00BD1A4F" w:rsidP="6EBF44DD">
                <w:pPr>
                  <w:rPr>
                    <w:b/>
                    <w:bCs/>
                    <w:color w:val="004E6C" w:themeColor="accent2" w:themeShade="80"/>
                  </w:rPr>
                </w:pPr>
                <w:r w:rsidRPr="6EBF44DD">
                  <w:rPr>
                    <w:b/>
                    <w:bCs/>
                    <w:color w:val="004E6C" w:themeColor="accent2" w:themeShade="80"/>
                  </w:rPr>
                  <w:t>AC19</w:t>
                </w:r>
              </w:p>
              <w:p w14:paraId="5C813BE1" w14:textId="77777777" w:rsidR="00BD1A4F" w:rsidRDefault="00BD1A4F" w:rsidP="00644100">
                <w:pPr>
                  <w:tabs>
                    <w:tab w:val="right" w:pos="9026"/>
                  </w:tabs>
                  <w:rPr>
                    <w:b/>
                    <w:color w:val="004E6C" w:themeColor="accent2" w:themeShade="80"/>
                  </w:rPr>
                </w:pPr>
                <w:r>
                  <w:rPr>
                    <w:b/>
                    <w:color w:val="004E6C" w:themeColor="accent2" w:themeShade="80"/>
                  </w:rPr>
                  <w:t>24/25</w:t>
                </w:r>
              </w:p>
              <w:p w14:paraId="18552975" w14:textId="476DDB42" w:rsidR="00BD1A4F" w:rsidRPr="00852AF4" w:rsidRDefault="00BD1A4F" w:rsidP="00644100">
                <w:pPr>
                  <w:tabs>
                    <w:tab w:val="right" w:pos="9026"/>
                  </w:tabs>
                </w:pPr>
                <w:r w:rsidRPr="00852AF4">
                  <w:t>Chair</w:t>
                </w:r>
              </w:p>
              <w:p w14:paraId="16242BFF" w14:textId="77777777" w:rsidR="00BD1A4F" w:rsidRPr="00094EC0" w:rsidRDefault="00BD1A4F" w:rsidP="0088655A">
                <w:pPr>
                  <w:tabs>
                    <w:tab w:val="right" w:pos="9026"/>
                  </w:tabs>
                  <w:rPr>
                    <w:b/>
                    <w:color w:val="0075A2" w:themeColor="accent2" w:themeShade="BF"/>
                  </w:rPr>
                </w:pPr>
                <w:r>
                  <w:rPr>
                    <w:b/>
                    <w:color w:val="004E6C" w:themeColor="accent2" w:themeShade="80"/>
                  </w:rPr>
                  <w:t xml:space="preserve"> </w:t>
                </w:r>
              </w:p>
            </w:tc>
            <w:tc>
              <w:tcPr>
                <w:tcW w:w="4404" w:type="pct"/>
              </w:tcPr>
              <w:p w14:paraId="184EAFF1" w14:textId="77777777" w:rsidR="00BD1A4F" w:rsidRDefault="00BD1A4F" w:rsidP="005A6BCF">
                <w:pPr>
                  <w:shd w:val="clear" w:color="auto" w:fill="FFFFFF"/>
                  <w:spacing w:before="100" w:beforeAutospacing="1" w:after="100" w:afterAutospacing="1"/>
                  <w:rPr>
                    <w:rFonts w:asciiTheme="minorHAnsi" w:hAnsiTheme="minorHAnsi" w:cstheme="minorHAnsi"/>
                    <w:b/>
                  </w:rPr>
                </w:pPr>
                <w:r w:rsidRPr="005A6BCF">
                  <w:rPr>
                    <w:rFonts w:asciiTheme="minorHAnsi" w:hAnsiTheme="minorHAnsi" w:cstheme="minorHAnsi"/>
                    <w:b/>
                  </w:rPr>
                  <w:t>Governance Guidance and Information</w:t>
                </w:r>
              </w:p>
              <w:p w14:paraId="69F481DF" w14:textId="77777777" w:rsidR="00BD1A4F" w:rsidRDefault="00BD1A4F" w:rsidP="00E85BB7">
                <w:pPr>
                  <w:pStyle w:val="ListParagraph"/>
                  <w:numPr>
                    <w:ilvl w:val="0"/>
                    <w:numId w:val="40"/>
                  </w:numPr>
                  <w:spacing w:line="252" w:lineRule="auto"/>
                  <w:rPr>
                    <w:rFonts w:eastAsia="Times New Roman"/>
                  </w:rPr>
                </w:pPr>
                <w:r>
                  <w:rPr>
                    <w:rFonts w:eastAsia="Times New Roman"/>
                  </w:rPr>
                  <w:t>DAO (</w:t>
                </w:r>
                <w:proofErr w:type="spellStart"/>
                <w:r>
                  <w:rPr>
                    <w:rFonts w:eastAsia="Times New Roman"/>
                  </w:rPr>
                  <w:t>DoF</w:t>
                </w:r>
                <w:proofErr w:type="spellEnd"/>
                <w:r>
                  <w:rPr>
                    <w:rFonts w:eastAsia="Times New Roman"/>
                  </w:rPr>
                  <w:t>) 03/24 - Guidance on Responding to Northern Ireland Audit Office Public Reports</w:t>
                </w:r>
              </w:p>
              <w:p w14:paraId="6427388D" w14:textId="77777777" w:rsidR="00BD1A4F" w:rsidRPr="0076027C" w:rsidRDefault="00A90F55" w:rsidP="00E85BB7">
                <w:pPr>
                  <w:pStyle w:val="ListParagraph"/>
                  <w:rPr>
                    <w:rFonts w:eastAsiaTheme="minorHAnsi"/>
                  </w:rPr>
                </w:pPr>
                <w:hyperlink r:id="rId13" w:history="1">
                  <w:r w:rsidR="00BD1A4F" w:rsidRPr="0076027C">
                    <w:rPr>
                      <w:rStyle w:val="Hyperlink"/>
                      <w:color w:val="auto"/>
                    </w:rPr>
                    <w:t>DAO (</w:t>
                  </w:r>
                  <w:proofErr w:type="spellStart"/>
                  <w:r w:rsidR="00BD1A4F" w:rsidRPr="0076027C">
                    <w:rPr>
                      <w:rStyle w:val="Hyperlink"/>
                      <w:color w:val="auto"/>
                    </w:rPr>
                    <w:t>DoF</w:t>
                  </w:r>
                  <w:proofErr w:type="spellEnd"/>
                  <w:r w:rsidR="00BD1A4F" w:rsidRPr="0076027C">
                    <w:rPr>
                      <w:rStyle w:val="Hyperlink"/>
                      <w:color w:val="auto"/>
                    </w:rPr>
                    <w:t>) 03/24 - Guidance on Responding to Northern Ireland Audit Office Public Reports (finance-ni.gov.uk)</w:t>
                  </w:r>
                </w:hyperlink>
              </w:p>
              <w:p w14:paraId="4FB172AE" w14:textId="77777777" w:rsidR="00BD1A4F" w:rsidRDefault="00BD1A4F" w:rsidP="00E85BB7">
                <w:pPr>
                  <w:pStyle w:val="ListParagraph"/>
                </w:pPr>
              </w:p>
              <w:p w14:paraId="658967E8" w14:textId="77777777" w:rsidR="00BD1A4F" w:rsidRDefault="00BD1A4F" w:rsidP="00E85BB7">
                <w:pPr>
                  <w:pStyle w:val="ListParagraph"/>
                  <w:numPr>
                    <w:ilvl w:val="0"/>
                    <w:numId w:val="40"/>
                  </w:numPr>
                  <w:spacing w:line="252" w:lineRule="auto"/>
                  <w:rPr>
                    <w:rFonts w:eastAsia="Times New Roman"/>
                  </w:rPr>
                </w:pPr>
                <w:r>
                  <w:rPr>
                    <w:rFonts w:eastAsia="Times New Roman"/>
                  </w:rPr>
                  <w:t>DAO (</w:t>
                </w:r>
                <w:proofErr w:type="spellStart"/>
                <w:r>
                  <w:rPr>
                    <w:rFonts w:eastAsia="Times New Roman"/>
                  </w:rPr>
                  <w:t>DoF</w:t>
                </w:r>
                <w:proofErr w:type="spellEnd"/>
                <w:r>
                  <w:rPr>
                    <w:rFonts w:eastAsia="Times New Roman"/>
                  </w:rPr>
                  <w:t>) 04/24 - Annual Theft and Fraud Report 2021-22</w:t>
                </w:r>
              </w:p>
              <w:p w14:paraId="6364224B" w14:textId="77777777" w:rsidR="00BD1A4F" w:rsidRPr="0076027C" w:rsidRDefault="00A90F55" w:rsidP="00E85BB7">
                <w:pPr>
                  <w:pStyle w:val="ListParagraph"/>
                  <w:rPr>
                    <w:rFonts w:eastAsiaTheme="minorHAnsi"/>
                  </w:rPr>
                </w:pPr>
                <w:hyperlink r:id="rId14" w:history="1">
                  <w:r w:rsidR="00BD1A4F" w:rsidRPr="0076027C">
                    <w:rPr>
                      <w:rStyle w:val="Hyperlink"/>
                      <w:color w:val="auto"/>
                    </w:rPr>
                    <w:t>DAO (</w:t>
                  </w:r>
                  <w:proofErr w:type="spellStart"/>
                  <w:r w:rsidR="00BD1A4F" w:rsidRPr="0076027C">
                    <w:rPr>
                      <w:rStyle w:val="Hyperlink"/>
                      <w:color w:val="auto"/>
                    </w:rPr>
                    <w:t>DoF</w:t>
                  </w:r>
                  <w:proofErr w:type="spellEnd"/>
                  <w:r w:rsidR="00BD1A4F" w:rsidRPr="0076027C">
                    <w:rPr>
                      <w:rStyle w:val="Hyperlink"/>
                      <w:color w:val="auto"/>
                    </w:rPr>
                    <w:t>) 04/24 - Publication of Annual Theft and Fraud Report 2021-22 (finance-ni.gov.uk)</w:t>
                  </w:r>
                </w:hyperlink>
              </w:p>
              <w:p w14:paraId="015ED8AB" w14:textId="4E780C85" w:rsidR="00BD1A4F" w:rsidRDefault="00BD1A4F" w:rsidP="105F1806">
                <w:pPr>
                  <w:rPr>
                    <w:rFonts w:asciiTheme="minorHAnsi" w:hAnsiTheme="minorHAnsi" w:cstheme="minorBidi"/>
                  </w:rPr>
                </w:pPr>
              </w:p>
              <w:p w14:paraId="726203A6" w14:textId="10C3754D" w:rsidR="00BD1A4F" w:rsidRDefault="00BD1A4F" w:rsidP="00842D63">
                <w:pPr>
                  <w:rPr>
                    <w:rFonts w:asciiTheme="minorHAnsi" w:hAnsiTheme="minorHAnsi" w:cstheme="minorBidi"/>
                  </w:rPr>
                </w:pPr>
                <w:r w:rsidRPr="105F1806">
                  <w:rPr>
                    <w:rFonts w:asciiTheme="minorHAnsi" w:hAnsiTheme="minorHAnsi" w:cstheme="minorBidi"/>
                  </w:rPr>
                  <w:t xml:space="preserve">The </w:t>
                </w:r>
                <w:r>
                  <w:rPr>
                    <w:rFonts w:asciiTheme="minorHAnsi" w:hAnsiTheme="minorHAnsi" w:cstheme="minorBidi"/>
                  </w:rPr>
                  <w:t xml:space="preserve">Chair encouraged the </w:t>
                </w:r>
                <w:r w:rsidRPr="105F1806">
                  <w:rPr>
                    <w:rFonts w:asciiTheme="minorHAnsi" w:hAnsiTheme="minorHAnsi" w:cstheme="minorBidi"/>
                  </w:rPr>
                  <w:t xml:space="preserve">Committee to </w:t>
                </w:r>
                <w:r w:rsidRPr="00FE67DE">
                  <w:rPr>
                    <w:rFonts w:asciiTheme="minorHAnsi" w:hAnsiTheme="minorHAnsi" w:cstheme="minorBidi"/>
                    <w:bCs/>
                  </w:rPr>
                  <w:t>access</w:t>
                </w:r>
                <w:r w:rsidRPr="105F1806">
                  <w:rPr>
                    <w:rFonts w:asciiTheme="minorHAnsi" w:hAnsiTheme="minorHAnsi" w:cstheme="minorBidi"/>
                    <w:b/>
                  </w:rPr>
                  <w:t xml:space="preserve"> </w:t>
                </w:r>
                <w:r w:rsidRPr="105F1806">
                  <w:rPr>
                    <w:rFonts w:asciiTheme="minorHAnsi" w:hAnsiTheme="minorHAnsi" w:cstheme="minorBidi"/>
                  </w:rPr>
                  <w:t xml:space="preserve">the documents on the Department of Finance website, to </w:t>
                </w:r>
                <w:r w:rsidRPr="00FE67DE">
                  <w:rPr>
                    <w:rFonts w:asciiTheme="minorHAnsi" w:hAnsiTheme="minorHAnsi" w:cstheme="minorBidi"/>
                    <w:bCs/>
                  </w:rPr>
                  <w:t>note</w:t>
                </w:r>
                <w:r w:rsidRPr="105F1806">
                  <w:rPr>
                    <w:rFonts w:asciiTheme="minorHAnsi" w:hAnsiTheme="minorHAnsi" w:cstheme="minorBidi"/>
                  </w:rPr>
                  <w:t xml:space="preserve"> the governance guidance and information provided, to </w:t>
                </w:r>
                <w:r w:rsidRPr="00FE67DE">
                  <w:rPr>
                    <w:rFonts w:asciiTheme="minorHAnsi" w:hAnsiTheme="minorHAnsi" w:cstheme="minorBidi"/>
                    <w:bCs/>
                  </w:rPr>
                  <w:t>note</w:t>
                </w:r>
                <w:r w:rsidRPr="105F1806">
                  <w:rPr>
                    <w:rFonts w:asciiTheme="minorHAnsi" w:hAnsiTheme="minorHAnsi" w:cstheme="minorBidi"/>
                  </w:rPr>
                  <w:t xml:space="preserve"> the information provided by Management and to </w:t>
                </w:r>
                <w:r w:rsidRPr="00FE67DE">
                  <w:rPr>
                    <w:rFonts w:asciiTheme="minorHAnsi" w:hAnsiTheme="minorHAnsi" w:cstheme="minorBidi"/>
                    <w:bCs/>
                  </w:rPr>
                  <w:t>consider</w:t>
                </w:r>
                <w:r w:rsidRPr="105F1806">
                  <w:rPr>
                    <w:rFonts w:asciiTheme="minorHAnsi" w:hAnsiTheme="minorHAnsi" w:cstheme="minorBidi"/>
                  </w:rPr>
                  <w:t xml:space="preserve"> the application to the governance and assurance framework in Belfast Metropolitan College.</w:t>
                </w:r>
              </w:p>
              <w:p w14:paraId="7030D138" w14:textId="26E05B3C" w:rsidR="00BD1A4F" w:rsidRPr="00CE38B9" w:rsidRDefault="00BD1A4F" w:rsidP="00CE38B9">
                <w:pPr>
                  <w:rPr>
                    <w:bCs/>
                  </w:rPr>
                </w:pPr>
              </w:p>
            </w:tc>
          </w:tr>
          <w:tr w:rsidR="00BD1A4F" w14:paraId="5392E1A8" w14:textId="07345F60" w:rsidTr="00507060">
            <w:tc>
              <w:tcPr>
                <w:tcW w:w="596" w:type="pct"/>
              </w:tcPr>
              <w:p w14:paraId="34D388DE" w14:textId="6AC5BBFD" w:rsidR="00BD1A4F" w:rsidRDefault="00BD1A4F" w:rsidP="6EBF44DD">
                <w:r w:rsidRPr="6EBF44DD">
                  <w:rPr>
                    <w:b/>
                    <w:bCs/>
                    <w:color w:val="004E6C" w:themeColor="accent2" w:themeShade="80"/>
                  </w:rPr>
                  <w:t>AC20</w:t>
                </w:r>
              </w:p>
              <w:p w14:paraId="79C3A7ED" w14:textId="6C6DFB15" w:rsidR="00BD1A4F" w:rsidRDefault="00BD1A4F" w:rsidP="00644100">
                <w:pPr>
                  <w:rPr>
                    <w:b/>
                    <w:color w:val="004E6C" w:themeColor="accent2" w:themeShade="80"/>
                  </w:rPr>
                </w:pPr>
                <w:r>
                  <w:rPr>
                    <w:b/>
                    <w:color w:val="004E6C" w:themeColor="accent2" w:themeShade="80"/>
                  </w:rPr>
                  <w:t>24/25</w:t>
                </w:r>
              </w:p>
            </w:tc>
            <w:tc>
              <w:tcPr>
                <w:tcW w:w="4404" w:type="pct"/>
              </w:tcPr>
              <w:p w14:paraId="3430AE31" w14:textId="22DA45EF" w:rsidR="00BD1A4F" w:rsidRPr="00B215EA" w:rsidRDefault="00BD1A4F" w:rsidP="00B215EA">
                <w:pPr>
                  <w:rPr>
                    <w:b/>
                  </w:rPr>
                </w:pPr>
                <w:r>
                  <w:rPr>
                    <w:b/>
                  </w:rPr>
                  <w:t xml:space="preserve">Notification of change to the internal control environment under Section 12d of Governing Body Standing Orders </w:t>
                </w:r>
                <w:r w:rsidRPr="00C01057">
                  <w:rPr>
                    <w:b/>
                  </w:rPr>
                  <w:t>V5</w:t>
                </w:r>
                <w:r>
                  <w:rPr>
                    <w:b/>
                  </w:rPr>
                  <w:t xml:space="preserve"> 22 June 2022</w:t>
                </w:r>
                <w:r w:rsidRPr="00B215EA">
                  <w:rPr>
                    <w:bCs/>
                  </w:rPr>
                  <w:t>.</w:t>
                </w:r>
              </w:p>
              <w:p w14:paraId="27E5071D" w14:textId="039E7306" w:rsidR="00BD1A4F" w:rsidRDefault="00BD1A4F" w:rsidP="00E41A0B">
                <w:pPr>
                  <w:rPr>
                    <w:bCs/>
                  </w:rPr>
                </w:pPr>
              </w:p>
              <w:p w14:paraId="70AF56D6" w14:textId="32B16241" w:rsidR="00BD1A4F" w:rsidRDefault="00BD1A4F" w:rsidP="00E41A0B">
                <w:pPr>
                  <w:rPr>
                    <w:bCs/>
                  </w:rPr>
                </w:pPr>
                <w:r>
                  <w:rPr>
                    <w:bCs/>
                  </w:rPr>
                  <w:t>None advised.</w:t>
                </w:r>
              </w:p>
              <w:p w14:paraId="620E2449" w14:textId="77777777" w:rsidR="00BD1A4F" w:rsidRPr="00CE0F51" w:rsidRDefault="00BD1A4F" w:rsidP="00B215EA">
                <w:pPr>
                  <w:rPr>
                    <w:b/>
                  </w:rPr>
                </w:pPr>
              </w:p>
            </w:tc>
          </w:tr>
          <w:tr w:rsidR="00BD1A4F" w14:paraId="43780258" w14:textId="40D7AF0A" w:rsidTr="00507060">
            <w:tc>
              <w:tcPr>
                <w:tcW w:w="596" w:type="pct"/>
              </w:tcPr>
              <w:p w14:paraId="00F85153" w14:textId="341F3010" w:rsidR="00BD1A4F" w:rsidRDefault="00BD1A4F" w:rsidP="6EBF44DD">
                <w:pPr>
                  <w:rPr>
                    <w:b/>
                    <w:bCs/>
                    <w:color w:val="004E6C" w:themeColor="accent2" w:themeShade="80"/>
                  </w:rPr>
                </w:pPr>
                <w:r w:rsidRPr="6EBF44DD">
                  <w:rPr>
                    <w:b/>
                    <w:bCs/>
                    <w:color w:val="004E6C" w:themeColor="accent2" w:themeShade="80"/>
                  </w:rPr>
                  <w:t>AC21</w:t>
                </w:r>
              </w:p>
              <w:p w14:paraId="4E5D0FF5" w14:textId="77777777" w:rsidR="00BD1A4F" w:rsidRDefault="00BD1A4F" w:rsidP="00644100">
                <w:pPr>
                  <w:tabs>
                    <w:tab w:val="right" w:pos="9026"/>
                  </w:tabs>
                  <w:rPr>
                    <w:b/>
                    <w:color w:val="004E6C" w:themeColor="accent2" w:themeShade="80"/>
                  </w:rPr>
                </w:pPr>
                <w:r>
                  <w:rPr>
                    <w:b/>
                    <w:color w:val="004E6C" w:themeColor="accent2" w:themeShade="80"/>
                  </w:rPr>
                  <w:t>24/25</w:t>
                </w:r>
              </w:p>
              <w:p w14:paraId="117E65CF" w14:textId="329662E7" w:rsidR="00BD1A4F" w:rsidRPr="00852AF4" w:rsidRDefault="00BD1A4F" w:rsidP="00644100">
                <w:pPr>
                  <w:tabs>
                    <w:tab w:val="right" w:pos="9026"/>
                  </w:tabs>
                  <w:rPr>
                    <w:color w:val="0075A2" w:themeColor="accent2" w:themeShade="BF"/>
                  </w:rPr>
                </w:pPr>
                <w:r w:rsidRPr="00852AF4">
                  <w:t xml:space="preserve">Chair </w:t>
                </w:r>
              </w:p>
            </w:tc>
            <w:tc>
              <w:tcPr>
                <w:tcW w:w="4404" w:type="pct"/>
              </w:tcPr>
              <w:p w14:paraId="39147B6F" w14:textId="77777777" w:rsidR="00BD1A4F" w:rsidRDefault="00BD1A4F" w:rsidP="0088655A">
                <w:pPr>
                  <w:tabs>
                    <w:tab w:val="right" w:pos="9026"/>
                  </w:tabs>
                  <w:rPr>
                    <w:b/>
                  </w:rPr>
                </w:pPr>
                <w:r w:rsidRPr="00DA6BA9">
                  <w:rPr>
                    <w:b/>
                  </w:rPr>
                  <w:t xml:space="preserve">Chair’s Business </w:t>
                </w:r>
              </w:p>
              <w:p w14:paraId="79508CE2" w14:textId="5908CC68" w:rsidR="00BD1A4F" w:rsidRDefault="00BD1A4F" w:rsidP="00873596">
                <w:pPr>
                  <w:tabs>
                    <w:tab w:val="right" w:pos="9026"/>
                  </w:tabs>
                </w:pPr>
              </w:p>
              <w:p w14:paraId="31075071" w14:textId="7A855334" w:rsidR="00BD1A4F" w:rsidRPr="00947016" w:rsidRDefault="00BD1A4F" w:rsidP="00ED4443">
                <w:pPr>
                  <w:pStyle w:val="paragraph"/>
                  <w:spacing w:before="0" w:beforeAutospacing="0" w:after="0" w:afterAutospacing="0"/>
                  <w:textAlignment w:val="baseline"/>
                  <w:rPr>
                    <w:rFonts w:ascii="Segoe UI" w:hAnsi="Segoe UI" w:cs="Segoe UI"/>
                    <w:sz w:val="22"/>
                    <w:szCs w:val="22"/>
                  </w:rPr>
                </w:pPr>
                <w:r w:rsidRPr="00846107">
                  <w:rPr>
                    <w:rStyle w:val="normaltextrun"/>
                    <w:rFonts w:ascii="Calibri" w:hAnsi="Calibri" w:cs="Calibri"/>
                    <w:sz w:val="22"/>
                    <w:szCs w:val="22"/>
                  </w:rPr>
                  <w:t>R</w:t>
                </w:r>
                <w:r w:rsidRPr="00947016">
                  <w:rPr>
                    <w:rStyle w:val="normaltextrun"/>
                    <w:rFonts w:ascii="Calibri" w:hAnsi="Calibri" w:cs="Calibri"/>
                    <w:sz w:val="22"/>
                    <w:szCs w:val="22"/>
                  </w:rPr>
                  <w:t xml:space="preserve">evised terms of reference had been updated in light of to the approved article and instrument of government dated 31 October 2024. A section included </w:t>
                </w:r>
                <w:proofErr w:type="gramStart"/>
                <w:r w:rsidRPr="00947016">
                  <w:rPr>
                    <w:rStyle w:val="normaltextrun"/>
                    <w:rFonts w:ascii="Calibri" w:hAnsi="Calibri" w:cs="Calibri"/>
                    <w:sz w:val="22"/>
                    <w:szCs w:val="22"/>
                  </w:rPr>
                  <w:t>made reference</w:t>
                </w:r>
                <w:proofErr w:type="gramEnd"/>
                <w:r w:rsidRPr="00947016">
                  <w:rPr>
                    <w:rStyle w:val="normaltextrun"/>
                    <w:rFonts w:ascii="Calibri" w:hAnsi="Calibri" w:cs="Calibri"/>
                    <w:sz w:val="22"/>
                    <w:szCs w:val="22"/>
                  </w:rPr>
                  <w:t xml:space="preserve"> to the ability to nominate a vice chair. </w:t>
                </w:r>
              </w:p>
              <w:p w14:paraId="75141948" w14:textId="042D06DE" w:rsidR="00BD1A4F" w:rsidRDefault="00BD1A4F" w:rsidP="00ED4443">
                <w:pPr>
                  <w:pStyle w:val="paragraph"/>
                  <w:spacing w:before="0" w:beforeAutospacing="0" w:after="0" w:afterAutospacing="0"/>
                  <w:textAlignment w:val="baseline"/>
                  <w:rPr>
                    <w:rFonts w:ascii="Segoe UI" w:hAnsi="Segoe UI" w:cs="Segoe UI"/>
                    <w:sz w:val="18"/>
                    <w:szCs w:val="18"/>
                  </w:rPr>
                </w:pPr>
                <w:r w:rsidRPr="105F1806">
                  <w:rPr>
                    <w:rStyle w:val="normaltextrun"/>
                    <w:rFonts w:ascii="Calibri" w:hAnsi="Calibri" w:cs="Calibri"/>
                    <w:sz w:val="22"/>
                    <w:szCs w:val="22"/>
                  </w:rPr>
                  <w:t> </w:t>
                </w:r>
                <w:r>
                  <w:rPr>
                    <w:rStyle w:val="eop"/>
                    <w:rFonts w:ascii="Calibri" w:hAnsi="Calibri" w:cs="Calibri"/>
                    <w:sz w:val="22"/>
                    <w:szCs w:val="22"/>
                  </w:rPr>
                  <w:t> </w:t>
                </w:r>
              </w:p>
              <w:p w14:paraId="1F1ADDF0" w14:textId="3FA36035" w:rsidR="00BD1A4F" w:rsidRDefault="00BD1A4F" w:rsidP="00ED44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Committee approved the Terms of Reference and recommended them for adoption by the Governing Body.</w:t>
                </w:r>
                <w:r w:rsidRPr="105F1806">
                  <w:rPr>
                    <w:rStyle w:val="normaltextrun"/>
                    <w:rFonts w:ascii="Calibri" w:hAnsi="Calibri" w:cs="Calibri"/>
                    <w:sz w:val="22"/>
                    <w:szCs w:val="22"/>
                  </w:rPr>
                  <w:t xml:space="preserve"> </w:t>
                </w:r>
              </w:p>
              <w:p w14:paraId="172B03A8" w14:textId="77777777" w:rsidR="00BD1A4F" w:rsidRDefault="00BD1A4F" w:rsidP="00B215EA"/>
              <w:p w14:paraId="474CDA52" w14:textId="77777777" w:rsidR="00BD1A4F" w:rsidRDefault="00BD1A4F" w:rsidP="00B215EA"/>
              <w:p w14:paraId="1466B69B" w14:textId="77777777" w:rsidR="00BD1A4F" w:rsidRDefault="00BD1A4F" w:rsidP="00B215EA"/>
            </w:tc>
          </w:tr>
          <w:tr w:rsidR="00BD1A4F" w14:paraId="3D8A7EA0" w14:textId="1981EA14" w:rsidTr="00507060">
            <w:tc>
              <w:tcPr>
                <w:tcW w:w="596" w:type="pct"/>
              </w:tcPr>
              <w:p w14:paraId="4627CAD1" w14:textId="19095FF0" w:rsidR="00BD1A4F" w:rsidRDefault="00BD1A4F" w:rsidP="6EBF44DD">
                <w:pPr>
                  <w:rPr>
                    <w:b/>
                    <w:bCs/>
                    <w:color w:val="004E6C" w:themeColor="accent2" w:themeShade="80"/>
                  </w:rPr>
                </w:pPr>
                <w:r w:rsidRPr="6EBF44DD">
                  <w:rPr>
                    <w:b/>
                    <w:bCs/>
                    <w:color w:val="004E6C" w:themeColor="accent2" w:themeShade="80"/>
                  </w:rPr>
                  <w:t>AC22</w:t>
                </w:r>
              </w:p>
              <w:p w14:paraId="4ABFA827" w14:textId="7F9C9F85" w:rsidR="00BD1A4F" w:rsidRPr="00B5567E" w:rsidRDefault="00BD1A4F" w:rsidP="00644100">
                <w:pPr>
                  <w:rPr>
                    <w:b/>
                    <w:color w:val="004E6C" w:themeColor="accent2" w:themeShade="80"/>
                  </w:rPr>
                </w:pPr>
                <w:r>
                  <w:rPr>
                    <w:b/>
                    <w:color w:val="004E6C" w:themeColor="accent2" w:themeShade="80"/>
                  </w:rPr>
                  <w:t>24/25</w:t>
                </w:r>
              </w:p>
            </w:tc>
            <w:tc>
              <w:tcPr>
                <w:tcW w:w="4404" w:type="pct"/>
              </w:tcPr>
              <w:p w14:paraId="46C276F7" w14:textId="0E8A4D11" w:rsidR="00BD1A4F" w:rsidRDefault="00BD1A4F" w:rsidP="00C67B54">
                <w:pPr>
                  <w:tabs>
                    <w:tab w:val="right" w:pos="9026"/>
                  </w:tabs>
                  <w:rPr>
                    <w:b/>
                  </w:rPr>
                </w:pPr>
                <w:r>
                  <w:rPr>
                    <w:b/>
                  </w:rPr>
                  <w:t>Financial Reporting for September 24/25</w:t>
                </w:r>
              </w:p>
              <w:p w14:paraId="7C287F5B" w14:textId="64596D76" w:rsidR="00BD1A4F" w:rsidRDefault="00BD1A4F" w:rsidP="00C67B54">
                <w:pPr>
                  <w:tabs>
                    <w:tab w:val="right" w:pos="9026"/>
                  </w:tabs>
                  <w:rPr>
                    <w:b/>
                  </w:rPr>
                </w:pPr>
              </w:p>
              <w:p w14:paraId="74B7B901" w14:textId="4A98E4E7" w:rsidR="00BD1A4F" w:rsidRDefault="00BD1A4F" w:rsidP="0090225D">
                <w:r>
                  <w:t>COO took members through the financial report as presented to the Resources Committee RC20 24/25. He explained that the new consolidated style report was used at all levels in the organisation which streamlined reporting. Overall, the reforecast for the current year indicates a positive variance.</w:t>
                </w:r>
              </w:p>
              <w:p w14:paraId="0862EFB2" w14:textId="77777777" w:rsidR="00BD1A4F" w:rsidRDefault="00BD1A4F" w:rsidP="0090225D"/>
              <w:p w14:paraId="3FF4D271" w14:textId="66923FEB" w:rsidR="00BD1A4F" w:rsidRDefault="00BD1A4F" w:rsidP="0090225D">
                <w:r>
                  <w:lastRenderedPageBreak/>
                  <w:t xml:space="preserve">In response to a matter raised the COO explained that the sector is considering a number of options for insurance which will include a mix of options including full and partial self-insurance. When asked, the COO conformed that cover was currently in place for 2024/25 and that an appropriate lead in time for the sector business case should minimise risk. </w:t>
                </w:r>
              </w:p>
              <w:p w14:paraId="6FA4AE6F" w14:textId="77777777" w:rsidR="00BD1A4F" w:rsidRDefault="00BD1A4F" w:rsidP="0090225D"/>
              <w:p w14:paraId="35A2B1C4" w14:textId="241F303B" w:rsidR="00BD1A4F" w:rsidRPr="00914B4F" w:rsidRDefault="00BD1A4F" w:rsidP="0090225D">
                <w:pPr>
                  <w:tabs>
                    <w:tab w:val="right" w:pos="9026"/>
                  </w:tabs>
                  <w:rPr>
                    <w:rFonts w:cs="Calibri"/>
                    <w:color w:val="000000"/>
                    <w:shd w:val="clear" w:color="auto" w:fill="FFFFFF"/>
                  </w:rPr>
                </w:pPr>
                <w:r>
                  <w:rPr>
                    <w:rStyle w:val="normaltextrun"/>
                    <w:rFonts w:cs="Calibri"/>
                    <w:color w:val="000000"/>
                    <w:shd w:val="clear" w:color="auto" w:fill="FFFFFF"/>
                  </w:rPr>
                  <w:t xml:space="preserve">The Committee </w:t>
                </w:r>
                <w:r w:rsidRPr="00AA40D4">
                  <w:rPr>
                    <w:rStyle w:val="normaltextrun"/>
                    <w:rFonts w:cs="Calibri"/>
                    <w:color w:val="000000"/>
                    <w:shd w:val="clear" w:color="auto" w:fill="FFFFFF"/>
                  </w:rPr>
                  <w:t>noted</w:t>
                </w:r>
                <w:r>
                  <w:rPr>
                    <w:rStyle w:val="normaltextrun"/>
                    <w:rFonts w:cs="Calibri"/>
                    <w:b/>
                    <w:bCs/>
                    <w:color w:val="000000"/>
                    <w:u w:val="single"/>
                    <w:shd w:val="clear" w:color="auto" w:fill="FFFFFF"/>
                  </w:rPr>
                  <w:t xml:space="preserve"> </w:t>
                </w:r>
                <w:r>
                  <w:rPr>
                    <w:rStyle w:val="normaltextrun"/>
                    <w:rFonts w:cs="Calibri"/>
                    <w:color w:val="000000"/>
                    <w:shd w:val="clear" w:color="auto" w:fill="FFFFFF"/>
                  </w:rPr>
                  <w:t>the information provided and action taken by Management.</w:t>
                </w:r>
                <w:r>
                  <w:rPr>
                    <w:rStyle w:val="eop"/>
                    <w:rFonts w:cs="Calibri"/>
                    <w:color w:val="000000"/>
                    <w:shd w:val="clear" w:color="auto" w:fill="FFFFFF"/>
                  </w:rPr>
                  <w:t> </w:t>
                </w:r>
              </w:p>
            </w:tc>
          </w:tr>
          <w:tr w:rsidR="00E42A10" w14:paraId="11312C90" w14:textId="71F9EF41" w:rsidTr="00507060">
            <w:tc>
              <w:tcPr>
                <w:tcW w:w="596" w:type="pct"/>
              </w:tcPr>
              <w:p w14:paraId="2297647D" w14:textId="626F1AE1" w:rsidR="00E42A10" w:rsidRDefault="00E42A10" w:rsidP="6EBF44DD">
                <w:pPr>
                  <w:rPr>
                    <w:b/>
                    <w:bCs/>
                    <w:color w:val="004E6C" w:themeColor="accent2" w:themeShade="80"/>
                  </w:rPr>
                </w:pPr>
                <w:r w:rsidRPr="6EBF44DD">
                  <w:rPr>
                    <w:b/>
                    <w:bCs/>
                    <w:color w:val="004E6C" w:themeColor="accent2" w:themeShade="80"/>
                  </w:rPr>
                  <w:lastRenderedPageBreak/>
                  <w:t>AC23</w:t>
                </w:r>
              </w:p>
              <w:p w14:paraId="78A34522" w14:textId="24F6DC5D" w:rsidR="00E42A10" w:rsidRPr="00EA3903" w:rsidRDefault="00E42A10" w:rsidP="00644100">
                <w:pPr>
                  <w:tabs>
                    <w:tab w:val="right" w:pos="9026"/>
                  </w:tabs>
                  <w:rPr>
                    <w:b/>
                    <w:color w:val="0075A2" w:themeColor="accent2" w:themeShade="BF"/>
                  </w:rPr>
                </w:pPr>
                <w:r>
                  <w:rPr>
                    <w:b/>
                    <w:color w:val="004E6C" w:themeColor="accent2" w:themeShade="80"/>
                  </w:rPr>
                  <w:t>24/25</w:t>
                </w:r>
              </w:p>
              <w:p w14:paraId="5B1C98B7" w14:textId="13D11BCC" w:rsidR="00E42A10" w:rsidRPr="009F1A8C" w:rsidRDefault="00E42A10" w:rsidP="00A03039">
                <w:pPr>
                  <w:tabs>
                    <w:tab w:val="right" w:pos="9026"/>
                  </w:tabs>
                  <w:rPr>
                    <w:b/>
                  </w:rPr>
                </w:pPr>
                <w:r w:rsidRPr="009F1A8C">
                  <w:rPr>
                    <w:b/>
                  </w:rPr>
                  <w:t>NIAO</w:t>
                </w:r>
              </w:p>
              <w:p w14:paraId="0234CD7E" w14:textId="77777777" w:rsidR="00E42A10" w:rsidRPr="00094EC0" w:rsidRDefault="00E42A10" w:rsidP="00A03039">
                <w:pPr>
                  <w:tabs>
                    <w:tab w:val="right" w:pos="9026"/>
                  </w:tabs>
                  <w:rPr>
                    <w:b/>
                    <w:color w:val="0075A2" w:themeColor="accent2" w:themeShade="BF"/>
                  </w:rPr>
                </w:pPr>
              </w:p>
            </w:tc>
            <w:tc>
              <w:tcPr>
                <w:tcW w:w="4404" w:type="pct"/>
              </w:tcPr>
              <w:p w14:paraId="5279AEF4" w14:textId="77777777" w:rsidR="00E42A10" w:rsidRDefault="00E42A10" w:rsidP="00A03039">
                <w:pPr>
                  <w:tabs>
                    <w:tab w:val="right" w:pos="9026"/>
                  </w:tabs>
                  <w:rPr>
                    <w:b/>
                  </w:rPr>
                </w:pPr>
                <w:r>
                  <w:rPr>
                    <w:b/>
                  </w:rPr>
                  <w:t>Northern Ireland Audit Office Business</w:t>
                </w:r>
              </w:p>
              <w:p w14:paraId="774443F7" w14:textId="77777777" w:rsidR="00E42A10" w:rsidRDefault="00E42A10" w:rsidP="00A03039">
                <w:pPr>
                  <w:tabs>
                    <w:tab w:val="right" w:pos="9026"/>
                  </w:tabs>
                </w:pPr>
              </w:p>
              <w:p w14:paraId="670E29D9" w14:textId="6E08E5D3" w:rsidR="00E42A10" w:rsidRDefault="00E42A10" w:rsidP="00A03039">
                <w:pPr>
                  <w:tabs>
                    <w:tab w:val="right" w:pos="9026"/>
                  </w:tabs>
                </w:pPr>
                <w:r>
                  <w:t xml:space="preserve">Papers (a) and (b) were tabled this morning as the updates had been received with the latest position on 15 Nov. </w:t>
                </w:r>
              </w:p>
              <w:p w14:paraId="7E6EF6D7" w14:textId="77777777" w:rsidR="00E42A10" w:rsidRDefault="00E42A10" w:rsidP="00875E75">
                <w:pPr>
                  <w:pStyle w:val="ListParagraph"/>
                  <w:numPr>
                    <w:ilvl w:val="0"/>
                    <w:numId w:val="39"/>
                  </w:numPr>
                  <w:spacing w:line="252" w:lineRule="auto"/>
                  <w:rPr>
                    <w:rFonts w:eastAsiaTheme="minorHAnsi"/>
                  </w:rPr>
                </w:pPr>
                <w:r>
                  <w:t>Update on the Audit of the Financial Statements for the College Year Ended 31</w:t>
                </w:r>
                <w:r>
                  <w:rPr>
                    <w:vertAlign w:val="superscript"/>
                  </w:rPr>
                  <w:t>st</w:t>
                </w:r>
                <w:r>
                  <w:t xml:space="preserve"> July 2024</w:t>
                </w:r>
              </w:p>
              <w:p w14:paraId="0200865A" w14:textId="77777777" w:rsidR="00E42A10" w:rsidRDefault="00E42A10" w:rsidP="00875E75">
                <w:pPr>
                  <w:pStyle w:val="ListParagraph"/>
                  <w:numPr>
                    <w:ilvl w:val="0"/>
                    <w:numId w:val="39"/>
                  </w:numPr>
                  <w:spacing w:line="252" w:lineRule="auto"/>
                </w:pPr>
                <w:r>
                  <w:t>Update on the Audit of the Financial Statements for the Fiscal Year Ended 31</w:t>
                </w:r>
                <w:r>
                  <w:rPr>
                    <w:vertAlign w:val="superscript"/>
                  </w:rPr>
                  <w:t>st</w:t>
                </w:r>
                <w:r>
                  <w:t xml:space="preserve"> March 2024</w:t>
                </w:r>
              </w:p>
              <w:p w14:paraId="48EB84F6" w14:textId="71D5ED6E" w:rsidR="00E42A10" w:rsidRDefault="00E42A10" w:rsidP="00875E75">
                <w:pPr>
                  <w:pStyle w:val="ListParagraph"/>
                  <w:numPr>
                    <w:ilvl w:val="0"/>
                    <w:numId w:val="39"/>
                  </w:numPr>
                  <w:spacing w:line="252" w:lineRule="auto"/>
                </w:pPr>
                <w:r>
                  <w:t>The National Fraud Initiative in Northern Ireland 2024</w:t>
                </w:r>
              </w:p>
              <w:p w14:paraId="78797B45" w14:textId="77777777" w:rsidR="00E42A10" w:rsidRDefault="00E42A10" w:rsidP="00A03039">
                <w:pPr>
                  <w:tabs>
                    <w:tab w:val="right" w:pos="9026"/>
                  </w:tabs>
                </w:pPr>
              </w:p>
              <w:p w14:paraId="1863A30E" w14:textId="6CF4FB0A" w:rsidR="00E42A10" w:rsidRDefault="00E42A10" w:rsidP="00A03039">
                <w:pPr>
                  <w:tabs>
                    <w:tab w:val="right" w:pos="9026"/>
                  </w:tabs>
                </w:pPr>
                <w:r>
                  <w:t xml:space="preserve">K </w:t>
                </w:r>
                <w:proofErr w:type="spellStart"/>
                <w:r>
                  <w:t>Doey</w:t>
                </w:r>
                <w:proofErr w:type="spellEnd"/>
                <w:r>
                  <w:t xml:space="preserve"> NIAO explained that the accounts will be unqualified but went on to explain there are two issues within the accounts each of which was technical and complex. </w:t>
                </w:r>
              </w:p>
              <w:p w14:paraId="2B09A704" w14:textId="42413887" w:rsidR="00E42A10" w:rsidRDefault="00E42A10" w:rsidP="00A03039">
                <w:pPr>
                  <w:tabs>
                    <w:tab w:val="right" w:pos="9026"/>
                  </w:tabs>
                </w:pPr>
                <w:r>
                  <w:t>(</w:t>
                </w:r>
                <w:proofErr w:type="spellStart"/>
                <w:r>
                  <w:t>i</w:t>
                </w:r>
                <w:proofErr w:type="spellEnd"/>
                <w:r>
                  <w:t>)     A sector wide issue was the treatment of pensions as advised by the sector actuary, which was inconsistent with the accounting treatment by other DFE arm’s length bodies. The outcome will mean that accounts for last year and the prior year will need revisited.</w:t>
                </w:r>
              </w:p>
              <w:p w14:paraId="7853733F" w14:textId="26BC69EC" w:rsidR="00E42A10" w:rsidRDefault="00E42A10" w:rsidP="00A03039">
                <w:pPr>
                  <w:tabs>
                    <w:tab w:val="right" w:pos="9026"/>
                  </w:tabs>
                </w:pPr>
                <w:r>
                  <w:t xml:space="preserve">(ii)    The accounting treatment of deferred income to be confirmed. </w:t>
                </w:r>
              </w:p>
              <w:p w14:paraId="49EE2B8B" w14:textId="77777777" w:rsidR="00E42A10" w:rsidRDefault="00E42A10" w:rsidP="00A03039">
                <w:pPr>
                  <w:tabs>
                    <w:tab w:val="right" w:pos="9026"/>
                  </w:tabs>
                </w:pPr>
              </w:p>
              <w:p w14:paraId="6E57E42C" w14:textId="21382232" w:rsidR="00E42A10" w:rsidRDefault="00E42A10" w:rsidP="00A03039">
                <w:pPr>
                  <w:tabs>
                    <w:tab w:val="right" w:pos="9026"/>
                  </w:tabs>
                </w:pPr>
                <w:r>
                  <w:t xml:space="preserve">K </w:t>
                </w:r>
                <w:proofErr w:type="spellStart"/>
                <w:r>
                  <w:t>Doey</w:t>
                </w:r>
                <w:proofErr w:type="spellEnd"/>
                <w:r>
                  <w:t xml:space="preserve"> anticipates that the work with the actuaries will be concluded quite quickly, while adjustments will be required, if made, that accounts should be approved by the end of the month. </w:t>
                </w:r>
              </w:p>
              <w:p w14:paraId="394B40D3" w14:textId="77777777" w:rsidR="00E42A10" w:rsidRDefault="00E42A10" w:rsidP="00A03039">
                <w:pPr>
                  <w:tabs>
                    <w:tab w:val="right" w:pos="9026"/>
                  </w:tabs>
                </w:pPr>
              </w:p>
              <w:p w14:paraId="5FE7FA5F" w14:textId="2F0A8688" w:rsidR="00E42A10" w:rsidRDefault="00E42A10" w:rsidP="00A03039">
                <w:pPr>
                  <w:tabs>
                    <w:tab w:val="right" w:pos="9026"/>
                  </w:tabs>
                </w:pPr>
                <w:r>
                  <w:t xml:space="preserve">The Chair sought clarity as to how the matters where not discovered last year. In response K </w:t>
                </w:r>
                <w:proofErr w:type="spellStart"/>
                <w:r>
                  <w:t>Doey</w:t>
                </w:r>
                <w:proofErr w:type="spellEnd"/>
                <w:r>
                  <w:t xml:space="preserve"> explained that by using comparators it was evident that the pensions were being accounted for differently. </w:t>
                </w:r>
              </w:p>
              <w:p w14:paraId="774ABB3A" w14:textId="77777777" w:rsidR="00E42A10" w:rsidRDefault="00E42A10" w:rsidP="00A03039">
                <w:pPr>
                  <w:tabs>
                    <w:tab w:val="right" w:pos="9026"/>
                  </w:tabs>
                </w:pPr>
              </w:p>
              <w:p w14:paraId="64385B93" w14:textId="19312816" w:rsidR="00E42A10" w:rsidRPr="00E41A0B" w:rsidRDefault="00E42A10" w:rsidP="00D74D7E">
                <w:pPr>
                  <w:rPr>
                    <w:rFonts w:eastAsiaTheme="minorHAnsi"/>
                  </w:rPr>
                </w:pPr>
                <w:r>
                  <w:rPr>
                    <w:bCs/>
                  </w:rPr>
                  <w:t xml:space="preserve">The Committee </w:t>
                </w:r>
                <w:r>
                  <w:rPr>
                    <w:b/>
                    <w:u w:val="single"/>
                  </w:rPr>
                  <w:t>noted</w:t>
                </w:r>
                <w:r>
                  <w:rPr>
                    <w:bCs/>
                  </w:rPr>
                  <w:t xml:space="preserve"> the information provided by NIAO and impact in delaying the approval of the accounts. If the accounts are received single item agenda meeting will need to be convened to approve the accounts, </w:t>
                </w:r>
              </w:p>
              <w:p w14:paraId="41EBE15B" w14:textId="2EFE5E6A" w:rsidR="00E42A10" w:rsidRPr="00D74D7E" w:rsidRDefault="00E42A10" w:rsidP="00D74D7E">
                <w:pPr>
                  <w:rPr>
                    <w:rFonts w:cs="Arial"/>
                  </w:rPr>
                </w:pPr>
              </w:p>
            </w:tc>
          </w:tr>
          <w:tr w:rsidR="00E42A10" w14:paraId="6322D931" w14:textId="4A938A6C" w:rsidTr="00507060">
            <w:tc>
              <w:tcPr>
                <w:tcW w:w="596" w:type="pct"/>
              </w:tcPr>
              <w:p w14:paraId="73ED2AA4" w14:textId="6C0CE7D0" w:rsidR="00E42A10" w:rsidRDefault="00E42A10" w:rsidP="6EBF44DD">
                <w:pPr>
                  <w:rPr>
                    <w:b/>
                    <w:bCs/>
                    <w:color w:val="004E6C" w:themeColor="accent2" w:themeShade="80"/>
                  </w:rPr>
                </w:pPr>
                <w:r w:rsidRPr="6EBF44DD">
                  <w:rPr>
                    <w:b/>
                    <w:bCs/>
                    <w:color w:val="004E6C" w:themeColor="accent2" w:themeShade="80"/>
                  </w:rPr>
                  <w:t>AC24</w:t>
                </w:r>
              </w:p>
              <w:p w14:paraId="79B0C87A" w14:textId="6C89CA8A" w:rsidR="00E42A10" w:rsidRPr="00EA3903" w:rsidRDefault="00E42A10" w:rsidP="00644100">
                <w:pPr>
                  <w:tabs>
                    <w:tab w:val="right" w:pos="9026"/>
                  </w:tabs>
                  <w:rPr>
                    <w:b/>
                    <w:color w:val="0075A2" w:themeColor="accent2" w:themeShade="BF"/>
                  </w:rPr>
                </w:pPr>
                <w:r>
                  <w:rPr>
                    <w:b/>
                    <w:color w:val="004E6C" w:themeColor="accent2" w:themeShade="80"/>
                  </w:rPr>
                  <w:t>24/25</w:t>
                </w:r>
              </w:p>
              <w:p w14:paraId="680B4316" w14:textId="26FA2A64" w:rsidR="00E42A10" w:rsidRPr="00155E54" w:rsidRDefault="00E42A10" w:rsidP="00A03039">
                <w:pPr>
                  <w:tabs>
                    <w:tab w:val="right" w:pos="9026"/>
                  </w:tabs>
                  <w:rPr>
                    <w:b/>
                  </w:rPr>
                </w:pPr>
                <w:r w:rsidRPr="00155E54">
                  <w:rPr>
                    <w:b/>
                  </w:rPr>
                  <w:t>RSMUK</w:t>
                </w:r>
              </w:p>
              <w:p w14:paraId="30DE2FEC" w14:textId="77777777" w:rsidR="00E42A10" w:rsidRDefault="00E42A10" w:rsidP="00A03039">
                <w:pPr>
                  <w:tabs>
                    <w:tab w:val="right" w:pos="9026"/>
                  </w:tabs>
                  <w:rPr>
                    <w:b/>
                    <w:color w:val="0075A2" w:themeColor="accent2" w:themeShade="BF"/>
                  </w:rPr>
                </w:pPr>
              </w:p>
              <w:p w14:paraId="56E14900" w14:textId="02949027" w:rsidR="00E42A10" w:rsidRPr="00852AF4" w:rsidRDefault="00E42A10" w:rsidP="00A03039">
                <w:pPr>
                  <w:tabs>
                    <w:tab w:val="right" w:pos="9026"/>
                  </w:tabs>
                  <w:rPr>
                    <w:color w:val="0075A2" w:themeColor="accent2" w:themeShade="BF"/>
                  </w:rPr>
                </w:pPr>
              </w:p>
            </w:tc>
            <w:tc>
              <w:tcPr>
                <w:tcW w:w="4404" w:type="pct"/>
              </w:tcPr>
              <w:p w14:paraId="1BBA5DCB" w14:textId="1647F7D3" w:rsidR="00E42A10" w:rsidRPr="00083EFE" w:rsidRDefault="00E42A10" w:rsidP="00A03039">
                <w:pPr>
                  <w:tabs>
                    <w:tab w:val="right" w:pos="9026"/>
                  </w:tabs>
                  <w:rPr>
                    <w:rFonts w:asciiTheme="minorHAnsi" w:hAnsiTheme="minorHAnsi" w:cstheme="minorHAnsi"/>
                    <w:b/>
                  </w:rPr>
                </w:pPr>
                <w:r>
                  <w:rPr>
                    <w:rFonts w:asciiTheme="minorHAnsi" w:hAnsiTheme="minorHAnsi" w:cstheme="minorHAnsi"/>
                    <w:b/>
                  </w:rPr>
                  <w:t xml:space="preserve">RSM </w:t>
                </w:r>
                <w:r w:rsidRPr="00083EFE">
                  <w:rPr>
                    <w:rFonts w:asciiTheme="minorHAnsi" w:hAnsiTheme="minorHAnsi" w:cstheme="minorHAnsi"/>
                    <w:b/>
                  </w:rPr>
                  <w:t xml:space="preserve">Internal Audit Business  </w:t>
                </w:r>
              </w:p>
              <w:p w14:paraId="7ABC25EC" w14:textId="77777777" w:rsidR="00E42A10" w:rsidRDefault="00E42A10" w:rsidP="00070BDB">
                <w:pPr>
                  <w:spacing w:line="252" w:lineRule="auto"/>
                </w:pPr>
              </w:p>
              <w:p w14:paraId="69A8B58A" w14:textId="20E8E779" w:rsidR="00E42A10" w:rsidRPr="00070BDB" w:rsidRDefault="00E42A10" w:rsidP="00070BDB">
                <w:pPr>
                  <w:spacing w:line="252" w:lineRule="auto"/>
                  <w:rPr>
                    <w:rFonts w:eastAsiaTheme="minorHAnsi"/>
                  </w:rPr>
                </w:pPr>
                <w:r>
                  <w:t xml:space="preserve">I McCartney presented the Internal Audit Progress Report, 12 November 2024. As there were no final reports issued since the last meeting there were no concerns or themes arising. A new code of practice effective January 2025 is being introduced. A number of audits are progressing. </w:t>
                </w:r>
              </w:p>
              <w:p w14:paraId="40679CC4" w14:textId="77777777" w:rsidR="00E42A10" w:rsidRDefault="00E42A10" w:rsidP="00BD50AC">
                <w:pPr>
                  <w:rPr>
                    <w:rFonts w:asciiTheme="minorHAnsi" w:hAnsiTheme="minorHAnsi" w:cstheme="minorHAnsi"/>
                  </w:rPr>
                </w:pPr>
              </w:p>
              <w:p w14:paraId="1B4A1058" w14:textId="5E14A233" w:rsidR="00E42A10" w:rsidRPr="00083EFE" w:rsidRDefault="00E42A10" w:rsidP="007F1640">
                <w:pPr>
                  <w:rPr>
                    <w:rFonts w:asciiTheme="minorHAnsi" w:hAnsiTheme="minorHAnsi" w:cstheme="minorHAnsi"/>
                  </w:rPr>
                </w:pPr>
                <w:r w:rsidRPr="00083EFE">
                  <w:rPr>
                    <w:rFonts w:asciiTheme="minorHAnsi" w:hAnsiTheme="minorHAnsi" w:cstheme="minorHAnsi"/>
                  </w:rPr>
                  <w:t xml:space="preserve">The Committee </w:t>
                </w:r>
                <w:r w:rsidRPr="00083EFE">
                  <w:rPr>
                    <w:rFonts w:asciiTheme="minorHAnsi" w:hAnsiTheme="minorHAnsi" w:cstheme="minorHAnsi"/>
                    <w:b/>
                    <w:bCs/>
                    <w:u w:val="single"/>
                  </w:rPr>
                  <w:t>to note</w:t>
                </w:r>
                <w:r w:rsidRPr="00083EFE">
                  <w:rPr>
                    <w:rFonts w:asciiTheme="minorHAnsi" w:hAnsiTheme="minorHAnsi" w:cstheme="minorHAnsi"/>
                  </w:rPr>
                  <w:t xml:space="preserve"> the information provided by Internal Audit</w:t>
                </w:r>
                <w:r>
                  <w:rPr>
                    <w:rFonts w:asciiTheme="minorHAnsi" w:hAnsiTheme="minorHAnsi" w:cstheme="minorHAnsi"/>
                  </w:rPr>
                  <w:t>.</w:t>
                </w:r>
              </w:p>
              <w:p w14:paraId="2CA57915" w14:textId="77777777" w:rsidR="00E42A10" w:rsidRDefault="00E42A10" w:rsidP="00DA15D4">
                <w:pPr>
                  <w:tabs>
                    <w:tab w:val="right" w:pos="9026"/>
                  </w:tabs>
                </w:pPr>
              </w:p>
            </w:tc>
          </w:tr>
          <w:tr w:rsidR="00E42A10" w14:paraId="3A69713B" w14:textId="5A25929F" w:rsidTr="00507060">
            <w:tc>
              <w:tcPr>
                <w:tcW w:w="596" w:type="pct"/>
              </w:tcPr>
              <w:p w14:paraId="342E1CA9" w14:textId="344838D0" w:rsidR="00E42A10" w:rsidRDefault="00E42A10" w:rsidP="6EBF44DD">
                <w:pPr>
                  <w:rPr>
                    <w:b/>
                    <w:bCs/>
                    <w:color w:val="004E6C" w:themeColor="accent2" w:themeShade="80"/>
                  </w:rPr>
                </w:pPr>
                <w:r w:rsidRPr="6EBF44DD">
                  <w:rPr>
                    <w:b/>
                    <w:bCs/>
                    <w:color w:val="004E6C" w:themeColor="accent2" w:themeShade="80"/>
                  </w:rPr>
                  <w:t>AC25</w:t>
                </w:r>
              </w:p>
              <w:p w14:paraId="6116C1E2" w14:textId="680E3C16" w:rsidR="00E42A10" w:rsidRDefault="00E42A10" w:rsidP="00644100">
                <w:pPr>
                  <w:tabs>
                    <w:tab w:val="right" w:pos="9026"/>
                  </w:tabs>
                  <w:rPr>
                    <w:b/>
                    <w:color w:val="0075A2" w:themeColor="accent2" w:themeShade="BF"/>
                  </w:rPr>
                </w:pPr>
                <w:r>
                  <w:rPr>
                    <w:b/>
                    <w:color w:val="004E6C" w:themeColor="accent2" w:themeShade="80"/>
                  </w:rPr>
                  <w:t>24/25</w:t>
                </w:r>
              </w:p>
              <w:p w14:paraId="4118F430" w14:textId="1130CACB" w:rsidR="00E42A10" w:rsidRPr="00155E54" w:rsidRDefault="00E42A10" w:rsidP="00E86231">
                <w:pPr>
                  <w:tabs>
                    <w:tab w:val="right" w:pos="9026"/>
                  </w:tabs>
                  <w:rPr>
                    <w:b/>
                  </w:rPr>
                </w:pPr>
                <w:proofErr w:type="spellStart"/>
                <w:r>
                  <w:rPr>
                    <w:b/>
                  </w:rPr>
                  <w:t>DHoF</w:t>
                </w:r>
                <w:proofErr w:type="spellEnd"/>
              </w:p>
              <w:p w14:paraId="7A59DD1A" w14:textId="755C9D4A" w:rsidR="00E42A10" w:rsidRPr="00731916" w:rsidRDefault="00E42A10" w:rsidP="00E86231">
                <w:pPr>
                  <w:tabs>
                    <w:tab w:val="right" w:pos="9026"/>
                  </w:tabs>
                  <w:rPr>
                    <w:b/>
                    <w:color w:val="112F51" w:themeColor="text2" w:themeShade="BF"/>
                  </w:rPr>
                </w:pPr>
                <w:r w:rsidRPr="00155E54">
                  <w:rPr>
                    <w:b/>
                  </w:rPr>
                  <w:t>HCD</w:t>
                </w:r>
              </w:p>
            </w:tc>
            <w:tc>
              <w:tcPr>
                <w:tcW w:w="4404" w:type="pct"/>
              </w:tcPr>
              <w:p w14:paraId="7D0B2780" w14:textId="35CD3401" w:rsidR="00E42A10" w:rsidRPr="00E0079A" w:rsidRDefault="00E42A10" w:rsidP="00E86231">
                <w:pPr>
                  <w:rPr>
                    <w:rFonts w:ascii="Arial" w:hAnsi="Arial" w:cs="Arial"/>
                    <w:b/>
                  </w:rPr>
                </w:pPr>
                <w:r w:rsidRPr="00E0079A">
                  <w:rPr>
                    <w:b/>
                  </w:rPr>
                  <w:t xml:space="preserve">Compliance Reporting for </w:t>
                </w:r>
                <w:r w:rsidRPr="00E0079A">
                  <w:rPr>
                    <w:b/>
                    <w:bCs/>
                  </w:rPr>
                  <w:t>Q1 2024/25</w:t>
                </w:r>
              </w:p>
              <w:p w14:paraId="2FF75103" w14:textId="77777777" w:rsidR="00E42A10" w:rsidRPr="00E0079A" w:rsidRDefault="00E42A10" w:rsidP="0021111C">
                <w:pPr>
                  <w:tabs>
                    <w:tab w:val="right" w:pos="9026"/>
                  </w:tabs>
                  <w:ind w:left="720"/>
                </w:pPr>
              </w:p>
              <w:p w14:paraId="31E6433F" w14:textId="5A14B554" w:rsidR="00E42A10" w:rsidRDefault="00E42A10" w:rsidP="0021111C">
                <w:pPr>
                  <w:ind w:left="720"/>
                </w:pPr>
                <w:r>
                  <w:t xml:space="preserve">(a)  There are no </w:t>
                </w:r>
                <w:r w:rsidRPr="00E0079A">
                  <w:t>Losses &amp; Special Payments</w:t>
                </w:r>
                <w:r>
                  <w:t xml:space="preserve"> to report</w:t>
                </w:r>
              </w:p>
              <w:p w14:paraId="44E9D094" w14:textId="77777777" w:rsidR="00E42A10" w:rsidRDefault="00E42A10" w:rsidP="0021111C">
                <w:pPr>
                  <w:ind w:left="720"/>
                </w:pPr>
              </w:p>
              <w:p w14:paraId="1E80A784" w14:textId="6B96FA6C" w:rsidR="00E42A10" w:rsidRDefault="00E42A10" w:rsidP="0021111C">
                <w:pPr>
                  <w:ind w:left="720"/>
                </w:pPr>
                <w:r>
                  <w:lastRenderedPageBreak/>
                  <w:t xml:space="preserve">(b)  There are no </w:t>
                </w:r>
                <w:r w:rsidRPr="00E0079A">
                  <w:t>Direct Award Contracts</w:t>
                </w:r>
                <w:r>
                  <w:t xml:space="preserve"> to report</w:t>
                </w:r>
              </w:p>
              <w:p w14:paraId="2DBFF22F" w14:textId="77777777" w:rsidR="00E42A10" w:rsidRDefault="00E42A10" w:rsidP="0021111C">
                <w:pPr>
                  <w:ind w:left="720"/>
                </w:pPr>
              </w:p>
              <w:p w14:paraId="777C763D" w14:textId="2204C65B" w:rsidR="00E42A10" w:rsidRDefault="00E42A10" w:rsidP="0021111C">
                <w:pPr>
                  <w:ind w:left="720"/>
                </w:pPr>
                <w:r>
                  <w:t>(</w:t>
                </w:r>
                <w:bookmarkStart w:id="0" w:name="_Hlk181791160"/>
                <w:r>
                  <w:t xml:space="preserve">c) The </w:t>
                </w:r>
                <w:r w:rsidRPr="00E0079A">
                  <w:t>Register of Gifts &amp; Hospitality</w:t>
                </w:r>
                <w:bookmarkEnd w:id="0"/>
                <w:r>
                  <w:t xml:space="preserve"> has been included for noting.</w:t>
                </w:r>
              </w:p>
              <w:p w14:paraId="107368CB" w14:textId="77777777" w:rsidR="00E42A10" w:rsidRPr="00E0079A" w:rsidRDefault="00E42A10" w:rsidP="0021111C">
                <w:pPr>
                  <w:ind w:left="720"/>
                </w:pPr>
              </w:p>
              <w:p w14:paraId="2A683507" w14:textId="2C3A49C8" w:rsidR="00E42A10" w:rsidRDefault="00E42A10" w:rsidP="0021111C">
                <w:pPr>
                  <w:ind w:left="720"/>
                </w:pPr>
                <w:r>
                  <w:t xml:space="preserve">(d)  One </w:t>
                </w:r>
                <w:r w:rsidRPr="00E0079A">
                  <w:t xml:space="preserve">Whistleblowing </w:t>
                </w:r>
                <w:r>
                  <w:t>n</w:t>
                </w:r>
                <w:r w:rsidRPr="00E0079A">
                  <w:t>otification</w:t>
                </w:r>
                <w:r>
                  <w:t xml:space="preserve"> was received in July. An investigating Officer has been appointed, and the outcome of the investigation should be known at the end of November. </w:t>
                </w:r>
              </w:p>
              <w:p w14:paraId="16738ABF" w14:textId="77777777" w:rsidR="00E42A10" w:rsidRDefault="00E42A10" w:rsidP="0021111C">
                <w:pPr>
                  <w:ind w:left="720"/>
                </w:pPr>
              </w:p>
              <w:p w14:paraId="57BB9A6E" w14:textId="73D38172" w:rsidR="00E42A10" w:rsidRPr="00E0079A" w:rsidRDefault="00E42A10" w:rsidP="0021111C">
                <w:pPr>
                  <w:ind w:left="720"/>
                </w:pPr>
                <w:r>
                  <w:t xml:space="preserve">(e)  5 </w:t>
                </w:r>
                <w:r w:rsidRPr="00E0079A">
                  <w:t>Data Breaches</w:t>
                </w:r>
                <w:r>
                  <w:t xml:space="preserve"> have been reported in Q1 24/25 none of which required reporting to the ICO. All breaches were closed quickly after discovery. </w:t>
                </w:r>
                <w:r w:rsidRPr="00E0079A">
                  <w:tab/>
                </w:r>
                <w:r w:rsidRPr="00E0079A">
                  <w:tab/>
                </w:r>
                <w:r w:rsidRPr="00E0079A">
                  <w:tab/>
                </w:r>
                <w:r w:rsidRPr="00E0079A">
                  <w:tab/>
                </w:r>
                <w:r w:rsidRPr="00E0079A">
                  <w:tab/>
                </w:r>
                <w:r w:rsidRPr="00E0079A">
                  <w:tab/>
                </w:r>
              </w:p>
              <w:p w14:paraId="43E37A3F" w14:textId="7F99A525" w:rsidR="00E42A10" w:rsidRPr="00E0079A" w:rsidRDefault="00E42A10" w:rsidP="00E86231">
                <w:pPr>
                  <w:tabs>
                    <w:tab w:val="right" w:pos="9026"/>
                  </w:tabs>
                </w:pPr>
                <w:r w:rsidRPr="00E0079A">
                  <w:t xml:space="preserve">The Committee to </w:t>
                </w:r>
                <w:r w:rsidRPr="00E0079A">
                  <w:rPr>
                    <w:b/>
                    <w:u w:val="single"/>
                  </w:rPr>
                  <w:t>note</w:t>
                </w:r>
                <w:r w:rsidRPr="00E0079A">
                  <w:t xml:space="preserve"> the information provided and the action taken by Management.</w:t>
                </w:r>
              </w:p>
              <w:p w14:paraId="648416BE" w14:textId="77777777" w:rsidR="00E42A10" w:rsidRPr="00E0079A" w:rsidRDefault="00E42A10" w:rsidP="00E86231">
                <w:pPr>
                  <w:tabs>
                    <w:tab w:val="right" w:pos="9026"/>
                  </w:tabs>
                  <w:rPr>
                    <w:b/>
                  </w:rPr>
                </w:pPr>
              </w:p>
            </w:tc>
          </w:tr>
          <w:tr w:rsidR="00E42A10" w14:paraId="764B6F13" w14:textId="24F57779" w:rsidTr="00507060">
            <w:tc>
              <w:tcPr>
                <w:tcW w:w="596" w:type="pct"/>
              </w:tcPr>
              <w:p w14:paraId="1B90F719" w14:textId="6F75A9B0" w:rsidR="00E42A10" w:rsidRDefault="00E42A10" w:rsidP="6EBF44DD">
                <w:pPr>
                  <w:rPr>
                    <w:b/>
                    <w:bCs/>
                    <w:color w:val="004E6C" w:themeColor="accent2" w:themeShade="80"/>
                  </w:rPr>
                </w:pPr>
                <w:r w:rsidRPr="6EBF44DD">
                  <w:rPr>
                    <w:b/>
                    <w:bCs/>
                    <w:color w:val="004E6C" w:themeColor="accent2" w:themeShade="80"/>
                  </w:rPr>
                  <w:lastRenderedPageBreak/>
                  <w:t>AC26</w:t>
                </w:r>
              </w:p>
              <w:p w14:paraId="4306F43F" w14:textId="236442C4" w:rsidR="00E42A10" w:rsidRDefault="00E42A10" w:rsidP="00644100">
                <w:pPr>
                  <w:tabs>
                    <w:tab w:val="right" w:pos="9026"/>
                  </w:tabs>
                  <w:rPr>
                    <w:b/>
                    <w:color w:val="004E6C" w:themeColor="accent2" w:themeShade="80"/>
                  </w:rPr>
                </w:pPr>
                <w:r>
                  <w:rPr>
                    <w:b/>
                    <w:color w:val="004E6C" w:themeColor="accent2" w:themeShade="80"/>
                  </w:rPr>
                  <w:t>24/25</w:t>
                </w:r>
              </w:p>
              <w:p w14:paraId="08A01EE0" w14:textId="77777777" w:rsidR="00E42A10" w:rsidRDefault="00E42A10" w:rsidP="00644100">
                <w:pPr>
                  <w:tabs>
                    <w:tab w:val="right" w:pos="9026"/>
                  </w:tabs>
                  <w:rPr>
                    <w:b/>
                  </w:rPr>
                </w:pPr>
              </w:p>
              <w:p w14:paraId="5456CF96" w14:textId="15D90E51" w:rsidR="00E42A10" w:rsidRPr="00731916" w:rsidRDefault="00E42A10" w:rsidP="00E86231">
                <w:pPr>
                  <w:tabs>
                    <w:tab w:val="right" w:pos="9026"/>
                  </w:tabs>
                  <w:rPr>
                    <w:b/>
                    <w:color w:val="112F51" w:themeColor="text2" w:themeShade="BF"/>
                  </w:rPr>
                </w:pPr>
                <w:r w:rsidRPr="00155E54">
                  <w:rPr>
                    <w:b/>
                  </w:rPr>
                  <w:t>HCD</w:t>
                </w:r>
              </w:p>
            </w:tc>
            <w:tc>
              <w:tcPr>
                <w:tcW w:w="4404" w:type="pct"/>
              </w:tcPr>
              <w:p w14:paraId="7E3D6691" w14:textId="1A5CCCF7" w:rsidR="00E42A10" w:rsidRPr="00B0685D" w:rsidRDefault="00E42A10" w:rsidP="00E86231">
                <w:pPr>
                  <w:rPr>
                    <w:b/>
                  </w:rPr>
                </w:pPr>
                <w:r w:rsidRPr="00B0685D">
                  <w:rPr>
                    <w:b/>
                  </w:rPr>
                  <w:t xml:space="preserve">Status of Outstanding Audit Recommendations </w:t>
                </w:r>
                <w:r>
                  <w:rPr>
                    <w:b/>
                  </w:rPr>
                  <w:t>Q1</w:t>
                </w:r>
              </w:p>
              <w:p w14:paraId="570B86B5" w14:textId="77777777" w:rsidR="00E42A10" w:rsidRDefault="00E42A10" w:rsidP="002857A1">
                <w:pPr>
                  <w:tabs>
                    <w:tab w:val="left" w:pos="4810"/>
                  </w:tabs>
                  <w:rPr>
                    <w:bCs/>
                  </w:rPr>
                </w:pPr>
                <w:r w:rsidRPr="00693719">
                  <w:rPr>
                    <w:bCs/>
                  </w:rPr>
                  <w:tab/>
                </w:r>
              </w:p>
              <w:p w14:paraId="2972A25A" w14:textId="51E99FBF" w:rsidR="00E42A10" w:rsidRPr="002857A1" w:rsidRDefault="00E42A10" w:rsidP="002857A1">
                <w:pPr>
                  <w:tabs>
                    <w:tab w:val="left" w:pos="4810"/>
                  </w:tabs>
                  <w:rPr>
                    <w:bCs/>
                  </w:rPr>
                </w:pPr>
                <w:r>
                  <w:rPr>
                    <w:bCs/>
                  </w:rPr>
                  <w:t xml:space="preserve">HCD reported on </w:t>
                </w:r>
                <w:r w:rsidRPr="002857A1">
                  <w:rPr>
                    <w:bCs/>
                  </w:rPr>
                  <w:t xml:space="preserve">Status of Outstanding Audit Recommendations </w:t>
                </w:r>
                <w:r>
                  <w:rPr>
                    <w:bCs/>
                  </w:rPr>
                  <w:t>Q1</w:t>
                </w:r>
                <w:r w:rsidRPr="002857A1">
                  <w:rPr>
                    <w:bCs/>
                  </w:rPr>
                  <w:t xml:space="preserve"> 2024</w:t>
                </w:r>
                <w:r>
                  <w:rPr>
                    <w:bCs/>
                  </w:rPr>
                  <w:t>/25</w:t>
                </w:r>
                <w:r w:rsidRPr="002857A1">
                  <w:rPr>
                    <w:bCs/>
                  </w:rPr>
                  <w:t>.</w:t>
                </w:r>
                <w:r>
                  <w:rPr>
                    <w:bCs/>
                  </w:rPr>
                  <w:t xml:space="preserve"> In addition to 16 recommendations carried over, there are 3 new ones. </w:t>
                </w:r>
                <w:r w:rsidRPr="00194A01">
                  <w:t>To</w:t>
                </w:r>
                <w:r>
                  <w:t xml:space="preserve"> </w:t>
                </w:r>
                <w:r w:rsidRPr="00194A01">
                  <w:t>date</w:t>
                </w:r>
                <w:r>
                  <w:rPr>
                    <w:bCs/>
                  </w:rPr>
                  <w:t xml:space="preserve"> 7 have been closed and 12 are live on the register. The detail was included in appendix 1. Overall, the College is in a strong position, as many outstanding items have a target for completion falling in Q2. </w:t>
                </w:r>
              </w:p>
              <w:p w14:paraId="2DCB32DC" w14:textId="77777777" w:rsidR="00E42A10" w:rsidRPr="00693719" w:rsidRDefault="00E42A10" w:rsidP="00E86231">
                <w:pPr>
                  <w:pStyle w:val="ListParagraph"/>
                  <w:tabs>
                    <w:tab w:val="right" w:pos="9026"/>
                  </w:tabs>
                  <w:rPr>
                    <w:bCs/>
                  </w:rPr>
                </w:pPr>
              </w:p>
              <w:p w14:paraId="21668D67" w14:textId="029A23A5" w:rsidR="00E42A10" w:rsidRPr="00693719" w:rsidRDefault="00E42A10" w:rsidP="00E86231">
                <w:pPr>
                  <w:tabs>
                    <w:tab w:val="right" w:pos="9026"/>
                  </w:tabs>
                  <w:rPr>
                    <w:bCs/>
                  </w:rPr>
                </w:pPr>
                <w:r w:rsidRPr="00693719">
                  <w:rPr>
                    <w:bCs/>
                  </w:rPr>
                  <w:t xml:space="preserve">The Committee </w:t>
                </w:r>
                <w:r w:rsidRPr="00693719">
                  <w:rPr>
                    <w:bCs/>
                    <w:u w:val="single"/>
                  </w:rPr>
                  <w:t>note</w:t>
                </w:r>
                <w:r>
                  <w:rPr>
                    <w:bCs/>
                    <w:u w:val="single"/>
                  </w:rPr>
                  <w:t>d</w:t>
                </w:r>
                <w:r w:rsidRPr="00693719">
                  <w:rPr>
                    <w:bCs/>
                  </w:rPr>
                  <w:t xml:space="preserve"> the information provided </w:t>
                </w:r>
                <w:r>
                  <w:rPr>
                    <w:bCs/>
                  </w:rPr>
                  <w:t xml:space="preserve">on outstanding audit recommendations </w:t>
                </w:r>
                <w:r w:rsidRPr="00693719">
                  <w:rPr>
                    <w:bCs/>
                  </w:rPr>
                  <w:t>and the actions taken by Management.</w:t>
                </w:r>
              </w:p>
            </w:tc>
          </w:tr>
          <w:tr w:rsidR="00E42A10" w14:paraId="401DBC77" w14:textId="5A45FCE2" w:rsidTr="00507060">
            <w:tc>
              <w:tcPr>
                <w:tcW w:w="596" w:type="pct"/>
              </w:tcPr>
              <w:p w14:paraId="540B3460" w14:textId="6AE6C84C" w:rsidR="00E42A10" w:rsidRDefault="00E42A10" w:rsidP="6EBF44DD">
                <w:pPr>
                  <w:rPr>
                    <w:b/>
                    <w:bCs/>
                    <w:color w:val="004E6C" w:themeColor="accent2" w:themeShade="80"/>
                  </w:rPr>
                </w:pPr>
                <w:r w:rsidRPr="105F1806">
                  <w:rPr>
                    <w:b/>
                  </w:rPr>
                  <w:t>AC27</w:t>
                </w:r>
              </w:p>
              <w:p w14:paraId="107C99E0" w14:textId="77777777" w:rsidR="00E42A10" w:rsidRDefault="00E42A10" w:rsidP="00644100">
                <w:pPr>
                  <w:tabs>
                    <w:tab w:val="right" w:pos="9026"/>
                  </w:tabs>
                  <w:rPr>
                    <w:b/>
                    <w:color w:val="004E6C" w:themeColor="accent2" w:themeShade="80"/>
                  </w:rPr>
                </w:pPr>
                <w:r w:rsidRPr="105F1806">
                  <w:rPr>
                    <w:b/>
                  </w:rPr>
                  <w:t>24/25</w:t>
                </w:r>
              </w:p>
              <w:p w14:paraId="71CB901C" w14:textId="77777777" w:rsidR="00E42A10" w:rsidRDefault="00E42A10" w:rsidP="00644100">
                <w:pPr>
                  <w:tabs>
                    <w:tab w:val="right" w:pos="9026"/>
                  </w:tabs>
                  <w:rPr>
                    <w:b/>
                  </w:rPr>
                </w:pPr>
              </w:p>
              <w:p w14:paraId="4B85E2B9" w14:textId="6E561547" w:rsidR="00E42A10" w:rsidRPr="00731916" w:rsidRDefault="00E42A10" w:rsidP="00644100">
                <w:pPr>
                  <w:tabs>
                    <w:tab w:val="right" w:pos="9026"/>
                  </w:tabs>
                  <w:rPr>
                    <w:b/>
                    <w:color w:val="112F51" w:themeColor="text2" w:themeShade="BF"/>
                  </w:rPr>
                </w:pPr>
              </w:p>
            </w:tc>
            <w:tc>
              <w:tcPr>
                <w:tcW w:w="4404" w:type="pct"/>
              </w:tcPr>
              <w:p w14:paraId="049C99F1" w14:textId="77777777" w:rsidR="00E42A10" w:rsidRPr="00B0685D" w:rsidRDefault="00E42A10" w:rsidP="00E86231">
                <w:pPr>
                  <w:rPr>
                    <w:b/>
                  </w:rPr>
                </w:pPr>
                <w:r w:rsidRPr="00B0685D">
                  <w:rPr>
                    <w:b/>
                  </w:rPr>
                  <w:t>Risk Management Report</w:t>
                </w:r>
              </w:p>
              <w:p w14:paraId="06CA5A6B" w14:textId="77777777" w:rsidR="00E42A10" w:rsidRPr="00693719" w:rsidRDefault="00E42A10" w:rsidP="00E86231">
                <w:pPr>
                  <w:rPr>
                    <w:rFonts w:cs="Calibri"/>
                    <w:bCs/>
                  </w:rPr>
                </w:pPr>
              </w:p>
              <w:p w14:paraId="1BFB6043" w14:textId="0AA575CA" w:rsidR="00E42A10" w:rsidRPr="00FC2F02" w:rsidRDefault="00E42A10" w:rsidP="00FC2F02">
                <w:pPr>
                  <w:rPr>
                    <w:rFonts w:ascii="Arial" w:hAnsi="Arial" w:cs="Arial"/>
                    <w:bCs/>
                    <w:sz w:val="24"/>
                    <w:szCs w:val="24"/>
                  </w:rPr>
                </w:pPr>
                <w:r>
                  <w:rPr>
                    <w:bCs/>
                  </w:rPr>
                  <w:t xml:space="preserve">Status of </w:t>
                </w:r>
                <w:r w:rsidRPr="00FC2F02">
                  <w:rPr>
                    <w:bCs/>
                  </w:rPr>
                  <w:t>Corporate Risk Register Report 2024/25.</w:t>
                </w:r>
              </w:p>
              <w:p w14:paraId="4793E10A" w14:textId="26CF4A53" w:rsidR="00E42A10" w:rsidRPr="00693719" w:rsidRDefault="00E42A10" w:rsidP="00E86231">
                <w:pPr>
                  <w:tabs>
                    <w:tab w:val="right" w:pos="9026"/>
                  </w:tabs>
                  <w:rPr>
                    <w:rFonts w:asciiTheme="minorHAnsi" w:hAnsiTheme="minorHAnsi" w:cstheme="minorBidi"/>
                    <w:bCs/>
                  </w:rPr>
                </w:pPr>
              </w:p>
              <w:p w14:paraId="514ABB7F" w14:textId="28219940" w:rsidR="00E42A10" w:rsidRDefault="00E42A10" w:rsidP="00E86231">
                <w:pPr>
                  <w:tabs>
                    <w:tab w:val="right" w:pos="9026"/>
                  </w:tabs>
                  <w:rPr>
                    <w:bCs/>
                  </w:rPr>
                </w:pPr>
                <w:r>
                  <w:rPr>
                    <w:bCs/>
                  </w:rPr>
                  <w:t>HCD presented the risk register to members. One corporate risk has been closed with mitigating activities managed through departmental risk registers. An additional risk relating to the increased prevalence of additional support needs has been added to the register. Three risks have been rearticulated to reflect this year’s operating environment.</w:t>
                </w:r>
              </w:p>
              <w:p w14:paraId="391C13A3" w14:textId="77777777" w:rsidR="00E42A10" w:rsidRDefault="00E42A10" w:rsidP="00E86231">
                <w:pPr>
                  <w:tabs>
                    <w:tab w:val="right" w:pos="9026"/>
                  </w:tabs>
                  <w:rPr>
                    <w:bCs/>
                  </w:rPr>
                </w:pPr>
              </w:p>
              <w:p w14:paraId="79631A15" w14:textId="3C27718F" w:rsidR="00E42A10" w:rsidRDefault="00E42A10" w:rsidP="00E86231">
                <w:pPr>
                  <w:tabs>
                    <w:tab w:val="right" w:pos="9026"/>
                  </w:tabs>
                  <w:rPr>
                    <w:bCs/>
                  </w:rPr>
                </w:pPr>
                <w:r>
                  <w:rPr>
                    <w:bCs/>
                  </w:rPr>
                  <w:t xml:space="preserve">There is one risk categorised as ‘black’ in relation to cyber security and one further risk categorised as ‘red’ in relation to recruitment challenges. </w:t>
                </w:r>
              </w:p>
              <w:p w14:paraId="4FB56EA6" w14:textId="77777777" w:rsidR="00E42A10" w:rsidRDefault="00E42A10" w:rsidP="00E86231">
                <w:pPr>
                  <w:tabs>
                    <w:tab w:val="right" w:pos="9026"/>
                  </w:tabs>
                  <w:rPr>
                    <w:bCs/>
                  </w:rPr>
                </w:pPr>
              </w:p>
              <w:p w14:paraId="2CC9D912" w14:textId="0284EF61" w:rsidR="00E42A10" w:rsidRDefault="00E42A10" w:rsidP="00E86231">
                <w:pPr>
                  <w:tabs>
                    <w:tab w:val="right" w:pos="9026"/>
                  </w:tabs>
                  <w:rPr>
                    <w:bCs/>
                  </w:rPr>
                </w:pPr>
                <w:r>
                  <w:rPr>
                    <w:bCs/>
                  </w:rPr>
                  <w:t xml:space="preserve">RB commented that an explanation of the values assigned in terms of the appetite to risk would enhance the register. This was accepted. </w:t>
                </w:r>
              </w:p>
              <w:p w14:paraId="7CE511A4" w14:textId="77777777" w:rsidR="00E42A10" w:rsidRDefault="00E42A10" w:rsidP="00E86231">
                <w:pPr>
                  <w:tabs>
                    <w:tab w:val="right" w:pos="9026"/>
                  </w:tabs>
                  <w:rPr>
                    <w:bCs/>
                  </w:rPr>
                </w:pPr>
              </w:p>
              <w:p w14:paraId="69101EB5" w14:textId="2C00E892" w:rsidR="00E42A10" w:rsidRPr="00693719" w:rsidRDefault="00E42A10" w:rsidP="00E86231">
                <w:pPr>
                  <w:tabs>
                    <w:tab w:val="right" w:pos="9026"/>
                  </w:tabs>
                  <w:rPr>
                    <w:bCs/>
                  </w:rPr>
                </w:pPr>
                <w:r>
                  <w:rPr>
                    <w:bCs/>
                  </w:rPr>
                  <w:t>A discussion on the practical implications of support for learners categorised as SEN ensued. The conduct of examinations and the necessary adaptions meant that small, dedicated rooms have become a norm rather than exception.</w:t>
                </w:r>
              </w:p>
              <w:p w14:paraId="34156221" w14:textId="77777777" w:rsidR="00E42A10" w:rsidRPr="00693719" w:rsidRDefault="00E42A10" w:rsidP="00E86231">
                <w:pPr>
                  <w:tabs>
                    <w:tab w:val="right" w:pos="9026"/>
                  </w:tabs>
                  <w:rPr>
                    <w:bCs/>
                  </w:rPr>
                </w:pPr>
              </w:p>
              <w:p w14:paraId="039C0539" w14:textId="069530BD" w:rsidR="00E42A10" w:rsidRPr="00693719" w:rsidRDefault="00E42A10" w:rsidP="00E86231">
                <w:pPr>
                  <w:tabs>
                    <w:tab w:val="right" w:pos="9026"/>
                  </w:tabs>
                  <w:rPr>
                    <w:bCs/>
                  </w:rPr>
                </w:pPr>
                <w:r w:rsidRPr="00693719">
                  <w:rPr>
                    <w:bCs/>
                  </w:rPr>
                  <w:t xml:space="preserve">The Committee </w:t>
                </w:r>
                <w:r>
                  <w:rPr>
                    <w:bCs/>
                    <w:u w:val="single"/>
                  </w:rPr>
                  <w:t>noted</w:t>
                </w:r>
                <w:r w:rsidRPr="00693719">
                  <w:rPr>
                    <w:bCs/>
                  </w:rPr>
                  <w:t xml:space="preserve"> the Corporate Risk Register Q1 2024/25 </w:t>
                </w:r>
                <w:r>
                  <w:rPr>
                    <w:bCs/>
                  </w:rPr>
                  <w:t>and</w:t>
                </w:r>
                <w:r w:rsidRPr="00693719">
                  <w:rPr>
                    <w:bCs/>
                  </w:rPr>
                  <w:t xml:space="preserve"> </w:t>
                </w:r>
                <w:r w:rsidRPr="00693719">
                  <w:rPr>
                    <w:bCs/>
                    <w:u w:val="single"/>
                  </w:rPr>
                  <w:t>recommend</w:t>
                </w:r>
                <w:r>
                  <w:rPr>
                    <w:bCs/>
                    <w:u w:val="single"/>
                  </w:rPr>
                  <w:t>ed</w:t>
                </w:r>
                <w:r w:rsidRPr="00693719">
                  <w:rPr>
                    <w:bCs/>
                  </w:rPr>
                  <w:t xml:space="preserve"> the CRR to the Governing Body at the meeting to be held on 1</w:t>
                </w:r>
                <w:r>
                  <w:rPr>
                    <w:bCs/>
                  </w:rPr>
                  <w:t>1</w:t>
                </w:r>
                <w:r w:rsidRPr="00693719">
                  <w:rPr>
                    <w:bCs/>
                  </w:rPr>
                  <w:t xml:space="preserve"> Dec 2024.</w:t>
                </w:r>
              </w:p>
              <w:p w14:paraId="6A57A9E6" w14:textId="0CF5A864" w:rsidR="00E42A10" w:rsidRPr="00693719" w:rsidRDefault="00E42A10" w:rsidP="00A36F8F">
                <w:pPr>
                  <w:tabs>
                    <w:tab w:val="left" w:pos="2174"/>
                  </w:tabs>
                  <w:rPr>
                    <w:bCs/>
                  </w:rPr>
                </w:pPr>
                <w:r w:rsidRPr="00693719">
                  <w:rPr>
                    <w:bCs/>
                  </w:rPr>
                  <w:tab/>
                </w:r>
              </w:p>
            </w:tc>
          </w:tr>
          <w:tr w:rsidR="00E42A10" w14:paraId="6ECC3848" w14:textId="4330693A" w:rsidTr="00507060">
            <w:tc>
              <w:tcPr>
                <w:tcW w:w="596" w:type="pct"/>
              </w:tcPr>
              <w:p w14:paraId="0FA291EF" w14:textId="3B1D84A9" w:rsidR="00E42A10" w:rsidRDefault="00E42A10" w:rsidP="6EBF44DD">
                <w:pPr>
                  <w:rPr>
                    <w:b/>
                    <w:bCs/>
                    <w:color w:val="004E6C" w:themeColor="accent2" w:themeShade="80"/>
                  </w:rPr>
                </w:pPr>
                <w:r w:rsidRPr="6EBF44DD">
                  <w:rPr>
                    <w:b/>
                    <w:bCs/>
                    <w:color w:val="004E6C" w:themeColor="accent2" w:themeShade="80"/>
                  </w:rPr>
                  <w:t>AC28</w:t>
                </w:r>
              </w:p>
              <w:p w14:paraId="08226BC8" w14:textId="6AC532B9" w:rsidR="00E42A10" w:rsidRPr="00AE13B9" w:rsidRDefault="00E42A10" w:rsidP="00644100">
                <w:pPr>
                  <w:tabs>
                    <w:tab w:val="right" w:pos="9026"/>
                  </w:tabs>
                  <w:rPr>
                    <w:b/>
                    <w:color w:val="0B1F36" w:themeColor="text2" w:themeShade="80"/>
                  </w:rPr>
                </w:pPr>
                <w:r>
                  <w:rPr>
                    <w:b/>
                    <w:color w:val="004E6C" w:themeColor="accent2" w:themeShade="80"/>
                  </w:rPr>
                  <w:t>24/25</w:t>
                </w:r>
              </w:p>
            </w:tc>
            <w:tc>
              <w:tcPr>
                <w:tcW w:w="4404" w:type="pct"/>
              </w:tcPr>
              <w:p w14:paraId="2B981579" w14:textId="77777777" w:rsidR="00E42A10" w:rsidRPr="009B0A0D" w:rsidRDefault="00E42A10" w:rsidP="009B0A0D">
                <w:pPr>
                  <w:tabs>
                    <w:tab w:val="right" w:pos="9026"/>
                  </w:tabs>
                  <w:rPr>
                    <w:rFonts w:asciiTheme="minorHAnsi" w:hAnsiTheme="minorHAnsi" w:cstheme="minorHAnsi"/>
                    <w:b/>
                  </w:rPr>
                </w:pPr>
                <w:r w:rsidRPr="009B0A0D">
                  <w:rPr>
                    <w:rFonts w:asciiTheme="minorHAnsi" w:hAnsiTheme="minorHAnsi" w:cstheme="minorHAnsi"/>
                    <w:b/>
                  </w:rPr>
                  <w:t xml:space="preserve">Meeting Feedback </w:t>
                </w:r>
              </w:p>
              <w:p w14:paraId="047C8B6B" w14:textId="77777777" w:rsidR="00E42A10" w:rsidRPr="009B0A0D" w:rsidRDefault="00E42A10" w:rsidP="009B0A0D">
                <w:pPr>
                  <w:tabs>
                    <w:tab w:val="right" w:pos="9026"/>
                  </w:tabs>
                  <w:rPr>
                    <w:rFonts w:asciiTheme="minorHAnsi" w:hAnsiTheme="minorHAnsi" w:cstheme="minorHAnsi"/>
                    <w:b/>
                  </w:rPr>
                </w:pPr>
              </w:p>
              <w:p w14:paraId="7C7875D5" w14:textId="77777777" w:rsidR="00E42A10" w:rsidRPr="009B0A0D" w:rsidRDefault="00E42A10" w:rsidP="009B0A0D">
                <w:pPr>
                  <w:shd w:val="clear" w:color="auto" w:fill="FFFFFF"/>
                  <w:rPr>
                    <w:rFonts w:asciiTheme="minorHAnsi" w:eastAsia="Times New Roman" w:hAnsiTheme="minorHAnsi" w:cstheme="minorHAnsi"/>
                    <w:color w:val="161B1C"/>
                    <w:lang w:eastAsia="en-GB"/>
                  </w:rPr>
                </w:pPr>
                <w:r w:rsidRPr="009B0A0D">
                  <w:rPr>
                    <w:rFonts w:asciiTheme="minorHAnsi" w:eastAsia="Times New Roman" w:hAnsiTheme="minorHAnsi" w:cstheme="minorHAnsi"/>
                    <w:color w:val="161B1C"/>
                    <w:lang w:eastAsia="en-GB"/>
                  </w:rPr>
                  <w:t>Committee members: </w:t>
                </w:r>
              </w:p>
              <w:p w14:paraId="48E516C0" w14:textId="440C9470" w:rsidR="00E42A10" w:rsidRDefault="00E42A10" w:rsidP="009B0A0D">
                <w:pPr>
                  <w:numPr>
                    <w:ilvl w:val="0"/>
                    <w:numId w:val="36"/>
                  </w:numPr>
                  <w:shd w:val="clear" w:color="auto" w:fill="FFFFFF"/>
                  <w:rPr>
                    <w:rFonts w:asciiTheme="minorHAnsi" w:eastAsia="Times New Roman" w:hAnsiTheme="minorHAnsi" w:cstheme="minorHAnsi"/>
                    <w:color w:val="161B1C"/>
                    <w:lang w:eastAsia="en-GB"/>
                  </w:rPr>
                </w:pPr>
                <w:r w:rsidRPr="008744CE">
                  <w:rPr>
                    <w:rFonts w:asciiTheme="minorHAnsi" w:eastAsia="Times New Roman" w:hAnsiTheme="minorHAnsi" w:cstheme="minorHAnsi"/>
                    <w:color w:val="161B1C"/>
                    <w:lang w:eastAsia="en-GB"/>
                  </w:rPr>
                  <w:lastRenderedPageBreak/>
                  <w:t>Members concluded that</w:t>
                </w:r>
                <w:r w:rsidRPr="009B0A0D">
                  <w:rPr>
                    <w:rFonts w:asciiTheme="minorHAnsi" w:eastAsia="Times New Roman" w:hAnsiTheme="minorHAnsi" w:cstheme="minorHAnsi"/>
                    <w:color w:val="161B1C"/>
                    <w:lang w:eastAsia="en-GB"/>
                  </w:rPr>
                  <w:t> </w:t>
                </w:r>
                <w:r>
                  <w:rPr>
                    <w:rFonts w:asciiTheme="minorHAnsi" w:eastAsia="Times New Roman" w:hAnsiTheme="minorHAnsi" w:cstheme="minorHAnsi"/>
                    <w:color w:val="161B1C"/>
                    <w:lang w:eastAsia="en-GB"/>
                  </w:rPr>
                  <w:t>the</w:t>
                </w:r>
                <w:r w:rsidRPr="009B0A0D">
                  <w:rPr>
                    <w:rFonts w:asciiTheme="minorHAnsi" w:eastAsia="Times New Roman" w:hAnsiTheme="minorHAnsi" w:cstheme="minorHAnsi"/>
                    <w:color w:val="161B1C"/>
                    <w:lang w:eastAsia="en-GB"/>
                  </w:rPr>
                  <w:t xml:space="preserve"> meeting </w:t>
                </w:r>
                <w:r>
                  <w:rPr>
                    <w:rFonts w:asciiTheme="minorHAnsi" w:eastAsia="Times New Roman" w:hAnsiTheme="minorHAnsi" w:cstheme="minorHAnsi"/>
                    <w:color w:val="161B1C"/>
                    <w:lang w:eastAsia="en-GB"/>
                  </w:rPr>
                  <w:t xml:space="preserve">had been conducted </w:t>
                </w:r>
                <w:r w:rsidRPr="009B0A0D">
                  <w:rPr>
                    <w:rFonts w:asciiTheme="minorHAnsi" w:eastAsia="Times New Roman" w:hAnsiTheme="minorHAnsi" w:cstheme="minorHAnsi"/>
                    <w:color w:val="161B1C"/>
                    <w:lang w:eastAsia="en-GB"/>
                  </w:rPr>
                  <w:t xml:space="preserve">in </w:t>
                </w:r>
                <w:r>
                  <w:rPr>
                    <w:rFonts w:asciiTheme="minorHAnsi" w:eastAsia="Times New Roman" w:hAnsiTheme="minorHAnsi" w:cstheme="minorHAnsi"/>
                    <w:color w:val="161B1C"/>
                    <w:lang w:eastAsia="en-GB"/>
                  </w:rPr>
                  <w:t>line with</w:t>
                </w:r>
                <w:r w:rsidRPr="009B0A0D">
                  <w:rPr>
                    <w:rFonts w:asciiTheme="minorHAnsi" w:eastAsia="Times New Roman" w:hAnsiTheme="minorHAnsi" w:cstheme="minorHAnsi"/>
                    <w:color w:val="161B1C"/>
                    <w:lang w:eastAsia="en-GB"/>
                  </w:rPr>
                  <w:t xml:space="preserve"> the responsibilities of the Audit and Risk Assurance Committee set out in Sections 3, 4 and 5 of the Terms of Belfast Metropolitan College Governance Manual Section 6 Audit and Risk Assurance Committee Terms of Reference </w:t>
                </w:r>
                <w:r w:rsidRPr="009C5E58">
                  <w:rPr>
                    <w:rFonts w:asciiTheme="minorHAnsi" w:eastAsia="Times New Roman" w:hAnsiTheme="minorHAnsi" w:cstheme="minorHAnsi"/>
                    <w:lang w:eastAsia="en-GB"/>
                  </w:rPr>
                  <w:t>V4</w:t>
                </w:r>
                <w:r w:rsidRPr="009B0A0D">
                  <w:rPr>
                    <w:rFonts w:asciiTheme="minorHAnsi" w:eastAsia="Times New Roman" w:hAnsiTheme="minorHAnsi" w:cstheme="minorHAnsi"/>
                    <w:color w:val="FF0000"/>
                    <w:lang w:eastAsia="en-GB"/>
                  </w:rPr>
                  <w:t xml:space="preserve"> GB</w:t>
                </w:r>
                <w:r w:rsidRPr="009B0A0D">
                  <w:rPr>
                    <w:rFonts w:asciiTheme="minorHAnsi" w:eastAsia="Times New Roman" w:hAnsiTheme="minorHAnsi" w:cstheme="minorHAnsi"/>
                    <w:b/>
                    <w:bCs/>
                    <w:color w:val="161B1C"/>
                    <w:lang w:eastAsia="en-GB"/>
                  </w:rPr>
                  <w:t>81a 21/22 22 June 2022</w:t>
                </w:r>
                <w:r w:rsidRPr="009B0A0D">
                  <w:rPr>
                    <w:rFonts w:asciiTheme="minorHAnsi" w:eastAsia="Times New Roman" w:hAnsiTheme="minorHAnsi" w:cstheme="minorHAnsi"/>
                    <w:color w:val="161B1C"/>
                    <w:lang w:eastAsia="en-GB"/>
                  </w:rPr>
                  <w:t>; and,</w:t>
                </w:r>
              </w:p>
              <w:p w14:paraId="36A893AF" w14:textId="77777777" w:rsidR="00E42A10" w:rsidRPr="009B0A0D" w:rsidRDefault="00E42A10" w:rsidP="009B0A0D">
                <w:pPr>
                  <w:shd w:val="clear" w:color="auto" w:fill="FFFFFF"/>
                  <w:ind w:left="720"/>
                  <w:rPr>
                    <w:rFonts w:asciiTheme="minorHAnsi" w:eastAsia="Times New Roman" w:hAnsiTheme="minorHAnsi" w:cstheme="minorHAnsi"/>
                    <w:color w:val="161B1C"/>
                    <w:lang w:eastAsia="en-GB"/>
                  </w:rPr>
                </w:pPr>
              </w:p>
              <w:p w14:paraId="17B8F3FC" w14:textId="2DF60C66" w:rsidR="00E42A10" w:rsidRPr="009B0A0D" w:rsidRDefault="00E42A10" w:rsidP="6EBF44DD">
                <w:pPr>
                  <w:numPr>
                    <w:ilvl w:val="0"/>
                    <w:numId w:val="36"/>
                  </w:numPr>
                  <w:shd w:val="clear" w:color="auto" w:fill="FFFFFF" w:themeFill="background1"/>
                  <w:rPr>
                    <w:rFonts w:asciiTheme="minorHAnsi" w:eastAsia="Times New Roman" w:hAnsiTheme="minorHAnsi" w:cstheme="minorBidi"/>
                    <w:color w:val="161B1C"/>
                    <w:lang w:eastAsia="en-GB"/>
                  </w:rPr>
                </w:pPr>
                <w:r w:rsidRPr="00F3626D">
                  <w:rPr>
                    <w:rFonts w:asciiTheme="minorHAnsi" w:eastAsia="Times New Roman" w:hAnsiTheme="minorHAnsi" w:cstheme="minorBidi"/>
                    <w:color w:val="161B1C"/>
                    <w:lang w:eastAsia="en-GB"/>
                  </w:rPr>
                  <w:t>Members agreed that the</w:t>
                </w:r>
                <w:r w:rsidRPr="6EBF44DD">
                  <w:rPr>
                    <w:rFonts w:asciiTheme="minorHAnsi" w:eastAsia="Times New Roman" w:hAnsiTheme="minorHAnsi" w:cstheme="minorBidi"/>
                    <w:color w:val="161B1C"/>
                    <w:lang w:eastAsia="en-GB"/>
                  </w:rPr>
                  <w:t xml:space="preserve"> conduct of this governance meeting provided evidence of the Governing Body’s commitments as set out at </w:t>
                </w:r>
                <w:r w:rsidRPr="105F1806">
                  <w:rPr>
                    <w:rFonts w:asciiTheme="minorHAnsi" w:eastAsia="Times New Roman" w:hAnsiTheme="minorHAnsi" w:cstheme="minorBidi"/>
                    <w:b/>
                    <w:bCs/>
                    <w:color w:val="0000FF"/>
                    <w:lang w:eastAsia="en-GB"/>
                  </w:rPr>
                  <w:t>AC16</w:t>
                </w:r>
                <w:r w:rsidRPr="6EBF44DD">
                  <w:rPr>
                    <w:rFonts w:asciiTheme="minorHAnsi" w:eastAsia="Times New Roman" w:hAnsiTheme="minorHAnsi" w:cstheme="minorBidi"/>
                    <w:b/>
                    <w:bCs/>
                    <w:color w:val="0000FF"/>
                    <w:lang w:eastAsia="en-GB"/>
                  </w:rPr>
                  <w:t xml:space="preserve"> 24/25</w:t>
                </w:r>
                <w:r w:rsidRPr="6EBF44DD">
                  <w:rPr>
                    <w:rFonts w:asciiTheme="minorHAnsi" w:eastAsia="Times New Roman" w:hAnsiTheme="minorHAnsi" w:cstheme="minorBidi"/>
                    <w:color w:val="0B5294" w:themeColor="accent1" w:themeShade="BF"/>
                    <w:lang w:eastAsia="en-GB"/>
                  </w:rPr>
                  <w:t> </w:t>
                </w:r>
                <w:r w:rsidRPr="6EBF44DD">
                  <w:rPr>
                    <w:rFonts w:asciiTheme="minorHAnsi" w:eastAsia="Times New Roman" w:hAnsiTheme="minorHAnsi" w:cstheme="minorBidi"/>
                    <w:color w:val="161B1C"/>
                    <w:lang w:eastAsia="en-GB"/>
                  </w:rPr>
                  <w:t>above.</w:t>
                </w:r>
              </w:p>
              <w:p w14:paraId="2B8D824B" w14:textId="77777777" w:rsidR="00E42A10" w:rsidRDefault="00E42A10" w:rsidP="009B0A0D">
                <w:pPr>
                  <w:rPr>
                    <w:b/>
                  </w:rPr>
                </w:pPr>
              </w:p>
            </w:tc>
          </w:tr>
          <w:tr w:rsidR="00E42A10" w14:paraId="2C053222" w14:textId="53B067ED" w:rsidTr="00507060">
            <w:tc>
              <w:tcPr>
                <w:tcW w:w="596" w:type="pct"/>
              </w:tcPr>
              <w:p w14:paraId="78586CC9" w14:textId="6987BEC8" w:rsidR="00E42A10" w:rsidRDefault="00E42A10" w:rsidP="6EBF44DD">
                <w:pPr>
                  <w:rPr>
                    <w:b/>
                    <w:bCs/>
                    <w:color w:val="004E6C" w:themeColor="accent2" w:themeShade="80"/>
                  </w:rPr>
                </w:pPr>
                <w:r w:rsidRPr="6EBF44DD">
                  <w:rPr>
                    <w:b/>
                    <w:bCs/>
                    <w:color w:val="004E6C" w:themeColor="accent2" w:themeShade="80"/>
                  </w:rPr>
                  <w:lastRenderedPageBreak/>
                  <w:t>AC29</w:t>
                </w:r>
              </w:p>
              <w:p w14:paraId="2DD7CBEF" w14:textId="735262F0" w:rsidR="00E42A10" w:rsidRDefault="00E42A10" w:rsidP="00644100">
                <w:pPr>
                  <w:tabs>
                    <w:tab w:val="right" w:pos="9026"/>
                  </w:tabs>
                  <w:rPr>
                    <w:b/>
                    <w:color w:val="004E6C" w:themeColor="accent2" w:themeShade="80"/>
                  </w:rPr>
                </w:pPr>
                <w:r>
                  <w:rPr>
                    <w:b/>
                    <w:color w:val="004E6C" w:themeColor="accent2" w:themeShade="80"/>
                  </w:rPr>
                  <w:t>24/25</w:t>
                </w:r>
              </w:p>
              <w:p w14:paraId="647A6889" w14:textId="77777777" w:rsidR="00E42A10" w:rsidRDefault="00E42A10" w:rsidP="00644100">
                <w:pPr>
                  <w:tabs>
                    <w:tab w:val="right" w:pos="9026"/>
                  </w:tabs>
                  <w:rPr>
                    <w:b/>
                    <w:color w:val="073763" w:themeColor="accent1" w:themeShade="80"/>
                  </w:rPr>
                </w:pPr>
              </w:p>
              <w:p w14:paraId="0AE68BF0" w14:textId="0205A6AC" w:rsidR="00E42A10" w:rsidRPr="008E268F" w:rsidRDefault="00E42A10" w:rsidP="00E86231">
                <w:pPr>
                  <w:tabs>
                    <w:tab w:val="right" w:pos="9026"/>
                  </w:tabs>
                  <w:rPr>
                    <w:b/>
                    <w:color w:val="073763" w:themeColor="accent1" w:themeShade="80"/>
                  </w:rPr>
                </w:pPr>
                <w:r w:rsidRPr="00155E54">
                  <w:rPr>
                    <w:b/>
                  </w:rPr>
                  <w:t>Chair</w:t>
                </w:r>
              </w:p>
            </w:tc>
            <w:tc>
              <w:tcPr>
                <w:tcW w:w="4404" w:type="pct"/>
              </w:tcPr>
              <w:p w14:paraId="499324B8" w14:textId="77777777" w:rsidR="00E42A10" w:rsidRPr="00DA6BA9" w:rsidRDefault="00E42A10" w:rsidP="00E86231">
                <w:pPr>
                  <w:tabs>
                    <w:tab w:val="right" w:pos="9026"/>
                  </w:tabs>
                  <w:rPr>
                    <w:b/>
                  </w:rPr>
                </w:pPr>
                <w:r w:rsidRPr="00DA6BA9">
                  <w:rPr>
                    <w:b/>
                  </w:rPr>
                  <w:t xml:space="preserve">Any Other Business </w:t>
                </w:r>
              </w:p>
              <w:p w14:paraId="2CF478F7" w14:textId="77777777" w:rsidR="00E42A10" w:rsidRDefault="00E42A10" w:rsidP="00E86231">
                <w:pPr>
                  <w:tabs>
                    <w:tab w:val="right" w:pos="9026"/>
                  </w:tabs>
                </w:pPr>
              </w:p>
              <w:p w14:paraId="6E89A1A3" w14:textId="724FF5C4" w:rsidR="00E42A10" w:rsidRPr="00A22352" w:rsidRDefault="00E42A10" w:rsidP="6EBF44DD">
                <w:pPr>
                  <w:rPr>
                    <w:rFonts w:cs="Arial"/>
                  </w:rPr>
                </w:pPr>
                <w:r>
                  <w:t>No other notified business had been received.</w:t>
                </w:r>
              </w:p>
              <w:p w14:paraId="39D17891" w14:textId="310AEDF1" w:rsidR="00E42A10" w:rsidRPr="00E86231" w:rsidRDefault="00E42A10" w:rsidP="00E86231">
                <w:pPr>
                  <w:rPr>
                    <w:rFonts w:cs="Arial"/>
                  </w:rPr>
                </w:pPr>
              </w:p>
              <w:p w14:paraId="340B2E8A" w14:textId="77777777" w:rsidR="00E42A10" w:rsidRDefault="00E42A10" w:rsidP="00E86231">
                <w:pPr>
                  <w:tabs>
                    <w:tab w:val="right" w:pos="9026"/>
                  </w:tabs>
                  <w:rPr>
                    <w:b/>
                  </w:rPr>
                </w:pPr>
              </w:p>
            </w:tc>
          </w:tr>
          <w:tr w:rsidR="00E42A10" w14:paraId="31C86A65" w14:textId="2340A815" w:rsidTr="00507060">
            <w:tc>
              <w:tcPr>
                <w:tcW w:w="596" w:type="pct"/>
              </w:tcPr>
              <w:p w14:paraId="577D0044" w14:textId="4DD2E643" w:rsidR="00E42A10" w:rsidRDefault="00E42A10" w:rsidP="6EBF44DD">
                <w:pPr>
                  <w:rPr>
                    <w:b/>
                    <w:bCs/>
                    <w:color w:val="004E6C" w:themeColor="accent2" w:themeShade="80"/>
                  </w:rPr>
                </w:pPr>
                <w:r w:rsidRPr="6EBF44DD">
                  <w:rPr>
                    <w:b/>
                    <w:bCs/>
                    <w:color w:val="004E6C" w:themeColor="accent2" w:themeShade="80"/>
                  </w:rPr>
                  <w:t>AC30</w:t>
                </w:r>
              </w:p>
              <w:p w14:paraId="06701B87" w14:textId="71801AA6" w:rsidR="00E42A10" w:rsidRDefault="00E42A10" w:rsidP="00644100">
                <w:pPr>
                  <w:rPr>
                    <w:b/>
                    <w:color w:val="073763" w:themeColor="accent1" w:themeShade="80"/>
                  </w:rPr>
                </w:pPr>
                <w:r>
                  <w:rPr>
                    <w:b/>
                    <w:color w:val="004E6C" w:themeColor="accent2" w:themeShade="80"/>
                  </w:rPr>
                  <w:t>24/25</w:t>
                </w:r>
              </w:p>
              <w:p w14:paraId="59C23010" w14:textId="77777777" w:rsidR="00E42A10" w:rsidRDefault="00E42A10" w:rsidP="00E86231">
                <w:pPr>
                  <w:rPr>
                    <w:b/>
                  </w:rPr>
                </w:pPr>
              </w:p>
              <w:p w14:paraId="5A788543" w14:textId="77777777" w:rsidR="00E42A10" w:rsidRDefault="00E42A10" w:rsidP="00E86231">
                <w:pPr>
                  <w:rPr>
                    <w:b/>
                  </w:rPr>
                </w:pPr>
              </w:p>
              <w:p w14:paraId="5E611F90" w14:textId="09BAB32D" w:rsidR="00E42A10" w:rsidRPr="008E268F" w:rsidRDefault="00E42A10" w:rsidP="00E86231">
                <w:pPr>
                  <w:rPr>
                    <w:color w:val="073763" w:themeColor="accent1" w:themeShade="80"/>
                  </w:rPr>
                </w:pPr>
                <w:r w:rsidRPr="00155E54">
                  <w:rPr>
                    <w:b/>
                  </w:rPr>
                  <w:t>Chair</w:t>
                </w:r>
              </w:p>
            </w:tc>
            <w:tc>
              <w:tcPr>
                <w:tcW w:w="4404" w:type="pct"/>
              </w:tcPr>
              <w:p w14:paraId="4F04AFA7" w14:textId="73107485" w:rsidR="00E42A10" w:rsidRPr="00797905" w:rsidRDefault="00E42A10" w:rsidP="00E86231">
                <w:pPr>
                  <w:tabs>
                    <w:tab w:val="right" w:pos="9026"/>
                  </w:tabs>
                  <w:rPr>
                    <w:rFonts w:asciiTheme="minorHAnsi" w:hAnsiTheme="minorHAnsi" w:cstheme="minorHAnsi"/>
                    <w:b/>
                  </w:rPr>
                </w:pPr>
                <w:r w:rsidRPr="00797905">
                  <w:rPr>
                    <w:rFonts w:asciiTheme="minorHAnsi" w:hAnsiTheme="minorHAnsi" w:cstheme="minorHAnsi"/>
                    <w:b/>
                  </w:rPr>
                  <w:t xml:space="preserve">Date of next meeting </w:t>
                </w:r>
              </w:p>
              <w:p w14:paraId="59530900" w14:textId="77777777" w:rsidR="00E42A10" w:rsidRPr="00797905" w:rsidRDefault="00E42A10" w:rsidP="00E86231">
                <w:pPr>
                  <w:tabs>
                    <w:tab w:val="right" w:pos="9026"/>
                  </w:tabs>
                  <w:rPr>
                    <w:rFonts w:asciiTheme="minorHAnsi" w:hAnsiTheme="minorHAnsi" w:cstheme="minorHAnsi"/>
                    <w:b/>
                  </w:rPr>
                </w:pPr>
              </w:p>
              <w:p w14:paraId="695AA237" w14:textId="1995527B" w:rsidR="00E42A10" w:rsidRDefault="00E42A10" w:rsidP="006D4771">
                <w:pPr>
                  <w:pStyle w:val="NormalWeb"/>
                  <w:shd w:val="clear" w:color="auto" w:fill="FFFFFF"/>
                  <w:spacing w:before="0" w:beforeAutospacing="0"/>
                  <w:rPr>
                    <w:rFonts w:asciiTheme="minorHAnsi" w:hAnsiTheme="minorHAnsi" w:cstheme="minorHAnsi"/>
                    <w:b/>
                    <w:bCs/>
                    <w:color w:val="161B1C"/>
                    <w:sz w:val="22"/>
                    <w:szCs w:val="22"/>
                  </w:rPr>
                </w:pPr>
                <w:r w:rsidRPr="00797905">
                  <w:rPr>
                    <w:rFonts w:asciiTheme="minorHAnsi" w:hAnsiTheme="minorHAnsi" w:cstheme="minorHAnsi"/>
                    <w:b/>
                    <w:bCs/>
                    <w:color w:val="161B1C"/>
                    <w:sz w:val="22"/>
                    <w:szCs w:val="22"/>
                  </w:rPr>
                  <w:t>Governance Programme 2024/25</w:t>
                </w:r>
              </w:p>
              <w:p w14:paraId="74146353" w14:textId="228A9C1F" w:rsidR="00E42A10" w:rsidRDefault="00E42A10" w:rsidP="00EA67F4">
                <w:pPr>
                  <w:pStyle w:val="NormalWeb"/>
                  <w:numPr>
                    <w:ilvl w:val="0"/>
                    <w:numId w:val="37"/>
                  </w:numPr>
                  <w:shd w:val="clear" w:color="auto" w:fill="FFFFFF"/>
                  <w:spacing w:before="0" w:beforeAutospacing="0"/>
                  <w:rPr>
                    <w:rFonts w:asciiTheme="minorHAnsi" w:hAnsiTheme="minorHAnsi" w:cstheme="minorHAnsi"/>
                    <w:b/>
                    <w:bCs/>
                    <w:color w:val="161B1C"/>
                    <w:sz w:val="22"/>
                    <w:szCs w:val="22"/>
                  </w:rPr>
                </w:pPr>
                <w:r>
                  <w:rPr>
                    <w:rFonts w:asciiTheme="minorHAnsi" w:hAnsiTheme="minorHAnsi" w:cstheme="minorHAnsi"/>
                    <w:b/>
                    <w:bCs/>
                    <w:color w:val="161B1C"/>
                    <w:sz w:val="22"/>
                    <w:szCs w:val="22"/>
                  </w:rPr>
                  <w:t>11 March 2025</w:t>
                </w:r>
              </w:p>
              <w:p w14:paraId="205CB11C" w14:textId="37DE7E7A" w:rsidR="00E42A10" w:rsidRPr="00A22352" w:rsidRDefault="00E42A10" w:rsidP="00797905">
                <w:pPr>
                  <w:pStyle w:val="NormalWeb"/>
                  <w:numPr>
                    <w:ilvl w:val="0"/>
                    <w:numId w:val="37"/>
                  </w:numPr>
                  <w:shd w:val="clear" w:color="auto" w:fill="FFFFFF"/>
                  <w:spacing w:before="0" w:beforeAutospacing="0"/>
                  <w:rPr>
                    <w:rFonts w:asciiTheme="minorHAnsi" w:hAnsiTheme="minorHAnsi" w:cstheme="minorHAnsi"/>
                    <w:b/>
                    <w:bCs/>
                    <w:color w:val="161B1C"/>
                    <w:sz w:val="22"/>
                    <w:szCs w:val="22"/>
                  </w:rPr>
                </w:pPr>
                <w:r>
                  <w:rPr>
                    <w:rFonts w:asciiTheme="minorHAnsi" w:hAnsiTheme="minorHAnsi" w:cstheme="minorHAnsi"/>
                    <w:b/>
                    <w:bCs/>
                    <w:color w:val="161B1C"/>
                    <w:sz w:val="22"/>
                    <w:szCs w:val="22"/>
                  </w:rPr>
                  <w:t>10 June 2025</w:t>
                </w:r>
              </w:p>
              <w:p w14:paraId="0CB47FD0" w14:textId="2CAB4152" w:rsidR="00E42A10" w:rsidRPr="00A22352" w:rsidRDefault="00E42A10" w:rsidP="00797905">
                <w:pPr>
                  <w:pStyle w:val="NormalWeb"/>
                  <w:shd w:val="clear" w:color="auto" w:fill="FFFFFF"/>
                  <w:spacing w:before="0" w:beforeAutospacing="0"/>
                  <w:rPr>
                    <w:rFonts w:asciiTheme="minorHAnsi" w:hAnsiTheme="minorHAnsi" w:cstheme="minorHAnsi"/>
                    <w:sz w:val="22"/>
                    <w:szCs w:val="22"/>
                  </w:rPr>
                </w:pPr>
                <w:r w:rsidRPr="00A22352">
                  <w:rPr>
                    <w:rFonts w:asciiTheme="minorHAnsi" w:hAnsiTheme="minorHAnsi" w:cstheme="minorHAnsi"/>
                    <w:sz w:val="22"/>
                    <w:szCs w:val="22"/>
                  </w:rPr>
                  <w:t>Meeting is expected to end at around </w:t>
                </w:r>
                <w:r>
                  <w:rPr>
                    <w:rFonts w:asciiTheme="minorHAnsi" w:hAnsiTheme="minorHAnsi" w:cstheme="minorHAnsi"/>
                    <w:sz w:val="22"/>
                    <w:szCs w:val="22"/>
                  </w:rPr>
                  <w:t>4.15</w:t>
                </w:r>
                <w:r w:rsidRPr="00A22352">
                  <w:rPr>
                    <w:rFonts w:asciiTheme="minorHAnsi" w:hAnsiTheme="minorHAnsi" w:cstheme="minorHAnsi"/>
                    <w:sz w:val="22"/>
                    <w:szCs w:val="22"/>
                  </w:rPr>
                  <w:t>pm. </w:t>
                </w:r>
              </w:p>
              <w:p w14:paraId="714CFE65" w14:textId="3C85FE48" w:rsidR="00E42A10" w:rsidRDefault="00E42A10" w:rsidP="00E86231">
                <w:pPr>
                  <w:tabs>
                    <w:tab w:val="right" w:pos="9026"/>
                  </w:tabs>
                </w:pPr>
              </w:p>
            </w:tc>
          </w:tr>
        </w:tbl>
        <w:p w14:paraId="1CBE224A" w14:textId="4833D96C" w:rsidR="009D7A12" w:rsidRDefault="00A90F55" w:rsidP="009D7A12">
          <w:pPr>
            <w:tabs>
              <w:tab w:val="right" w:pos="9026"/>
            </w:tabs>
          </w:pPr>
        </w:p>
      </w:sdtContent>
    </w:sdt>
    <w:tbl>
      <w:tblPr>
        <w:tblStyle w:val="TableGrid"/>
        <w:tblW w:w="9498" w:type="dxa"/>
        <w:tblInd w:w="-5" w:type="dxa"/>
        <w:tblLook w:val="04A0" w:firstRow="1" w:lastRow="0" w:firstColumn="1" w:lastColumn="0" w:noHBand="0" w:noVBand="1"/>
      </w:tblPr>
      <w:tblGrid>
        <w:gridCol w:w="4678"/>
        <w:gridCol w:w="4820"/>
      </w:tblGrid>
      <w:tr w:rsidR="00BC0329" w14:paraId="5F9D1868" w14:textId="77777777" w:rsidTr="00507060">
        <w:trPr>
          <w:tblHead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291B8" w14:textId="4B3EFB96" w:rsidR="00BC0329" w:rsidRDefault="00BC0329" w:rsidP="00272893">
            <w:pPr>
              <w:rPr>
                <w:rFonts w:cstheme="minorHAnsi"/>
                <w:b/>
                <w:bCs/>
              </w:rPr>
            </w:pPr>
            <w:r>
              <w:rPr>
                <w:rFonts w:cstheme="minorHAnsi"/>
                <w:b/>
                <w:bCs/>
              </w:rPr>
              <w:t>Governing Body Attendance Report and Governing Body Member Assessment 202</w:t>
            </w:r>
            <w:r w:rsidR="00873883">
              <w:rPr>
                <w:rFonts w:cstheme="minorHAnsi"/>
                <w:b/>
                <w:bCs/>
              </w:rPr>
              <w:t>4</w:t>
            </w:r>
            <w:r>
              <w:rPr>
                <w:rFonts w:cstheme="minorHAnsi"/>
                <w:b/>
                <w:bCs/>
              </w:rPr>
              <w:t>/2</w:t>
            </w:r>
            <w:r w:rsidR="00873883">
              <w:rPr>
                <w:rFonts w:cstheme="minorHAnsi"/>
                <w:b/>
                <w:bCs/>
              </w:rPr>
              <w:t>5</w:t>
            </w:r>
          </w:p>
        </w:tc>
      </w:tr>
      <w:tr w:rsidR="00BC0329" w14:paraId="2607E223" w14:textId="77777777" w:rsidTr="00507060">
        <w:trPr>
          <w:tblHead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E4272" w14:textId="7CA935CD" w:rsidR="00BC0329" w:rsidRDefault="00BC0329" w:rsidP="00272893">
            <w:pPr>
              <w:rPr>
                <w:rFonts w:cstheme="minorHAnsi"/>
                <w:b/>
                <w:bCs/>
              </w:rPr>
            </w:pPr>
            <w:r>
              <w:rPr>
                <w:rFonts w:cstheme="minorHAnsi"/>
                <w:b/>
                <w:bCs/>
              </w:rPr>
              <w:t xml:space="preserve">Participation at </w:t>
            </w:r>
            <w:r w:rsidRPr="00BC0329">
              <w:rPr>
                <w:rFonts w:cstheme="minorHAnsi"/>
                <w:b/>
                <w:bCs/>
                <w:color w:val="073763" w:themeColor="accent1" w:themeShade="80"/>
              </w:rPr>
              <w:t>AC</w:t>
            </w:r>
            <w:r w:rsidR="00B8463C">
              <w:rPr>
                <w:rFonts w:cstheme="minorHAnsi"/>
                <w:b/>
                <w:bCs/>
                <w:color w:val="073763" w:themeColor="accent1" w:themeShade="80"/>
              </w:rPr>
              <w:t>16</w:t>
            </w:r>
            <w:r w:rsidRPr="00BC0329">
              <w:rPr>
                <w:rFonts w:cstheme="minorHAnsi"/>
                <w:b/>
                <w:bCs/>
                <w:color w:val="073763" w:themeColor="accent1" w:themeShade="80"/>
              </w:rPr>
              <w:t xml:space="preserve"> 2</w:t>
            </w:r>
            <w:r w:rsidR="00873883">
              <w:rPr>
                <w:rFonts w:cstheme="minorHAnsi"/>
                <w:b/>
                <w:bCs/>
                <w:color w:val="073763" w:themeColor="accent1" w:themeShade="80"/>
              </w:rPr>
              <w:t>4</w:t>
            </w:r>
            <w:r w:rsidRPr="00BC0329">
              <w:rPr>
                <w:rFonts w:cstheme="minorHAnsi"/>
                <w:b/>
                <w:bCs/>
                <w:color w:val="073763" w:themeColor="accent1" w:themeShade="80"/>
              </w:rPr>
              <w:t>/2</w:t>
            </w:r>
            <w:r w:rsidR="00873883">
              <w:rPr>
                <w:rFonts w:cstheme="minorHAnsi"/>
                <w:b/>
                <w:bCs/>
                <w:color w:val="073763" w:themeColor="accent1" w:themeShade="80"/>
              </w:rPr>
              <w:t>5</w:t>
            </w:r>
            <w:r w:rsidRPr="00BC0329">
              <w:rPr>
                <w:rFonts w:cstheme="minorHAnsi"/>
                <w:b/>
                <w:bCs/>
                <w:color w:val="073763" w:themeColor="accent1" w:themeShade="80"/>
              </w:rPr>
              <w:t xml:space="preserve"> Audit and Risk Assurance </w:t>
            </w:r>
            <w:r w:rsidR="00947016" w:rsidRPr="00BC0329">
              <w:rPr>
                <w:rFonts w:cstheme="minorHAnsi"/>
                <w:b/>
                <w:bCs/>
                <w:color w:val="073763" w:themeColor="accent1" w:themeShade="80"/>
              </w:rPr>
              <w:t>Committee Meeting</w:t>
            </w:r>
            <w:r w:rsidRPr="00AA2B30">
              <w:rPr>
                <w:rFonts w:cstheme="minorHAnsi"/>
                <w:b/>
                <w:bCs/>
              </w:rPr>
              <w:t xml:space="preserve"> </w:t>
            </w:r>
            <w:r w:rsidR="00B8463C">
              <w:rPr>
                <w:rFonts w:cstheme="minorHAnsi"/>
                <w:b/>
                <w:bCs/>
              </w:rPr>
              <w:t xml:space="preserve">17 November </w:t>
            </w:r>
            <w:r w:rsidRPr="00AA2B30">
              <w:rPr>
                <w:rFonts w:cstheme="minorHAnsi"/>
                <w:b/>
                <w:bCs/>
              </w:rPr>
              <w:t>202</w:t>
            </w:r>
            <w:r w:rsidR="00D756F7">
              <w:rPr>
                <w:rFonts w:cstheme="minorHAnsi"/>
                <w:b/>
                <w:bCs/>
              </w:rPr>
              <w:t>4</w:t>
            </w:r>
          </w:p>
        </w:tc>
      </w:tr>
      <w:tr w:rsidR="00BC0329" w14:paraId="55D0CE9B" w14:textId="77777777" w:rsidTr="00507060">
        <w:trPr>
          <w:tblHeader/>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B2093" w14:textId="77777777" w:rsidR="00BC0329" w:rsidRDefault="00BC0329" w:rsidP="00272893">
            <w:pPr>
              <w:rPr>
                <w:rFonts w:cstheme="minorHAnsi"/>
                <w:b/>
                <w:bCs/>
              </w:rPr>
            </w:pPr>
            <w:r>
              <w:rPr>
                <w:rFonts w:cstheme="minorHAnsi"/>
                <w:b/>
                <w:bCs/>
              </w:rPr>
              <w:t>In-person at TQ Boardroom</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D624B" w14:textId="77777777" w:rsidR="00BC0329" w:rsidRDefault="00BC0329" w:rsidP="00272893">
            <w:pPr>
              <w:rPr>
                <w:rFonts w:cstheme="minorHAnsi"/>
                <w:b/>
                <w:bCs/>
              </w:rPr>
            </w:pPr>
            <w:r>
              <w:rPr>
                <w:rFonts w:cstheme="minorHAnsi"/>
                <w:b/>
                <w:bCs/>
              </w:rPr>
              <w:t>via MS Teams</w:t>
            </w:r>
          </w:p>
        </w:tc>
      </w:tr>
      <w:tr w:rsidR="00BC0329" w14:paraId="1E2F50EC" w14:textId="77777777" w:rsidTr="00507060">
        <w:tc>
          <w:tcPr>
            <w:tcW w:w="4678" w:type="dxa"/>
            <w:tcBorders>
              <w:top w:val="single" w:sz="4" w:space="0" w:color="auto"/>
              <w:left w:val="single" w:sz="4" w:space="0" w:color="auto"/>
              <w:bottom w:val="single" w:sz="4" w:space="0" w:color="auto"/>
              <w:right w:val="single" w:sz="4" w:space="0" w:color="auto"/>
            </w:tcBorders>
          </w:tcPr>
          <w:p w14:paraId="4692F7B6" w14:textId="2DF8FB0E" w:rsidR="00BC0329" w:rsidRDefault="006C2613" w:rsidP="00272893">
            <w:pPr>
              <w:rPr>
                <w:rFonts w:cstheme="minorHAnsi"/>
              </w:rPr>
            </w:pPr>
            <w:r>
              <w:rPr>
                <w:rFonts w:cstheme="minorHAnsi"/>
              </w:rPr>
              <w:t xml:space="preserve">Seamus McGoran </w:t>
            </w:r>
          </w:p>
        </w:tc>
        <w:tc>
          <w:tcPr>
            <w:tcW w:w="4820" w:type="dxa"/>
            <w:tcBorders>
              <w:top w:val="single" w:sz="4" w:space="0" w:color="auto"/>
              <w:left w:val="single" w:sz="4" w:space="0" w:color="auto"/>
              <w:bottom w:val="single" w:sz="4" w:space="0" w:color="auto"/>
              <w:right w:val="single" w:sz="4" w:space="0" w:color="auto"/>
            </w:tcBorders>
          </w:tcPr>
          <w:p w14:paraId="0F35CE12" w14:textId="4B33E70B" w:rsidR="00BC0329" w:rsidRDefault="001B7F0E" w:rsidP="00272893">
            <w:pPr>
              <w:rPr>
                <w:rFonts w:cstheme="minorHAnsi"/>
              </w:rPr>
            </w:pPr>
            <w:r>
              <w:rPr>
                <w:rFonts w:cstheme="minorHAnsi"/>
              </w:rPr>
              <w:t>Rose Byrne</w:t>
            </w:r>
          </w:p>
        </w:tc>
      </w:tr>
      <w:tr w:rsidR="00BC0329" w14:paraId="1373F041" w14:textId="77777777" w:rsidTr="00507060">
        <w:tc>
          <w:tcPr>
            <w:tcW w:w="4678" w:type="dxa"/>
            <w:tcBorders>
              <w:top w:val="single" w:sz="4" w:space="0" w:color="auto"/>
              <w:left w:val="single" w:sz="4" w:space="0" w:color="auto"/>
              <w:bottom w:val="single" w:sz="4" w:space="0" w:color="auto"/>
              <w:right w:val="single" w:sz="4" w:space="0" w:color="auto"/>
            </w:tcBorders>
          </w:tcPr>
          <w:p w14:paraId="1840330C" w14:textId="331B9DEF" w:rsidR="00BC0329" w:rsidRDefault="006C2613" w:rsidP="00272893">
            <w:pPr>
              <w:rPr>
                <w:rFonts w:cstheme="minorHAnsi"/>
              </w:rPr>
            </w:pPr>
            <w:r w:rsidRPr="00124151">
              <w:t>Bill Montgomery</w:t>
            </w:r>
          </w:p>
        </w:tc>
        <w:tc>
          <w:tcPr>
            <w:tcW w:w="4820" w:type="dxa"/>
            <w:tcBorders>
              <w:top w:val="single" w:sz="4" w:space="0" w:color="auto"/>
              <w:left w:val="single" w:sz="4" w:space="0" w:color="auto"/>
              <w:bottom w:val="single" w:sz="4" w:space="0" w:color="auto"/>
              <w:right w:val="single" w:sz="4" w:space="0" w:color="auto"/>
            </w:tcBorders>
          </w:tcPr>
          <w:p w14:paraId="71F30782" w14:textId="7F77A17C" w:rsidR="00BC0329" w:rsidRDefault="00BC0329" w:rsidP="00272893">
            <w:pPr>
              <w:rPr>
                <w:rFonts w:cstheme="minorHAnsi"/>
              </w:rPr>
            </w:pPr>
          </w:p>
        </w:tc>
      </w:tr>
      <w:tr w:rsidR="00BC0329" w14:paraId="6F2AF99E" w14:textId="77777777" w:rsidTr="00507060">
        <w:tc>
          <w:tcPr>
            <w:tcW w:w="4678" w:type="dxa"/>
            <w:tcBorders>
              <w:top w:val="single" w:sz="4" w:space="0" w:color="auto"/>
              <w:left w:val="single" w:sz="4" w:space="0" w:color="auto"/>
              <w:bottom w:val="single" w:sz="4" w:space="0" w:color="auto"/>
              <w:right w:val="single" w:sz="4" w:space="0" w:color="auto"/>
            </w:tcBorders>
          </w:tcPr>
          <w:p w14:paraId="61D4A1FD" w14:textId="77777777" w:rsidR="00BC0329" w:rsidRDefault="00BC0329" w:rsidP="00272893">
            <w:pPr>
              <w:rPr>
                <w:rFonts w:cstheme="minorHAnsi"/>
              </w:rPr>
            </w:pPr>
          </w:p>
        </w:tc>
        <w:tc>
          <w:tcPr>
            <w:tcW w:w="4820" w:type="dxa"/>
            <w:tcBorders>
              <w:top w:val="single" w:sz="4" w:space="0" w:color="auto"/>
              <w:left w:val="single" w:sz="4" w:space="0" w:color="auto"/>
              <w:bottom w:val="single" w:sz="4" w:space="0" w:color="auto"/>
              <w:right w:val="single" w:sz="4" w:space="0" w:color="auto"/>
            </w:tcBorders>
          </w:tcPr>
          <w:p w14:paraId="35573F7A" w14:textId="77777777" w:rsidR="00BC0329" w:rsidRDefault="00BC0329" w:rsidP="00272893">
            <w:pPr>
              <w:rPr>
                <w:rFonts w:cstheme="minorHAnsi"/>
              </w:rPr>
            </w:pPr>
          </w:p>
        </w:tc>
      </w:tr>
      <w:tr w:rsidR="00BC0329" w14:paraId="4EEF1E2D" w14:textId="77777777" w:rsidTr="00507060">
        <w:tc>
          <w:tcPr>
            <w:tcW w:w="4678" w:type="dxa"/>
            <w:tcBorders>
              <w:top w:val="single" w:sz="4" w:space="0" w:color="auto"/>
              <w:left w:val="single" w:sz="4" w:space="0" w:color="auto"/>
              <w:bottom w:val="single" w:sz="4" w:space="0" w:color="auto"/>
              <w:right w:val="single" w:sz="4" w:space="0" w:color="auto"/>
            </w:tcBorders>
          </w:tcPr>
          <w:p w14:paraId="5EB71B7B" w14:textId="77777777" w:rsidR="00BC0329" w:rsidRDefault="00BC0329" w:rsidP="00272893">
            <w:pPr>
              <w:rPr>
                <w:rFonts w:cstheme="minorHAnsi"/>
              </w:rPr>
            </w:pPr>
          </w:p>
        </w:tc>
        <w:tc>
          <w:tcPr>
            <w:tcW w:w="4820" w:type="dxa"/>
            <w:tcBorders>
              <w:top w:val="single" w:sz="4" w:space="0" w:color="auto"/>
              <w:left w:val="single" w:sz="4" w:space="0" w:color="auto"/>
              <w:bottom w:val="single" w:sz="4" w:space="0" w:color="auto"/>
              <w:right w:val="single" w:sz="4" w:space="0" w:color="auto"/>
            </w:tcBorders>
          </w:tcPr>
          <w:p w14:paraId="31A62BE8" w14:textId="77777777" w:rsidR="00BC0329" w:rsidRDefault="00BC0329" w:rsidP="00272893">
            <w:pPr>
              <w:rPr>
                <w:rFonts w:cstheme="minorHAnsi"/>
              </w:rPr>
            </w:pPr>
          </w:p>
        </w:tc>
      </w:tr>
      <w:tr w:rsidR="00BC0329" w14:paraId="4B094176" w14:textId="77777777" w:rsidTr="00507060">
        <w:tc>
          <w:tcPr>
            <w:tcW w:w="4678" w:type="dxa"/>
            <w:tcBorders>
              <w:top w:val="single" w:sz="4" w:space="0" w:color="auto"/>
              <w:left w:val="single" w:sz="4" w:space="0" w:color="auto"/>
              <w:bottom w:val="single" w:sz="4" w:space="0" w:color="auto"/>
              <w:right w:val="single" w:sz="4" w:space="0" w:color="auto"/>
            </w:tcBorders>
          </w:tcPr>
          <w:p w14:paraId="46657558" w14:textId="77777777" w:rsidR="00BC0329" w:rsidRDefault="00BC0329" w:rsidP="00272893">
            <w:pPr>
              <w:rPr>
                <w:rFonts w:cstheme="minorHAnsi"/>
              </w:rPr>
            </w:pPr>
          </w:p>
        </w:tc>
        <w:tc>
          <w:tcPr>
            <w:tcW w:w="4820" w:type="dxa"/>
            <w:tcBorders>
              <w:top w:val="single" w:sz="4" w:space="0" w:color="auto"/>
              <w:left w:val="single" w:sz="4" w:space="0" w:color="auto"/>
              <w:bottom w:val="single" w:sz="4" w:space="0" w:color="auto"/>
              <w:right w:val="single" w:sz="4" w:space="0" w:color="auto"/>
            </w:tcBorders>
          </w:tcPr>
          <w:p w14:paraId="3D53985F" w14:textId="77777777" w:rsidR="00BC0329" w:rsidRDefault="00BC0329" w:rsidP="00272893">
            <w:pPr>
              <w:rPr>
                <w:rFonts w:cstheme="minorHAnsi"/>
              </w:rPr>
            </w:pPr>
          </w:p>
        </w:tc>
      </w:tr>
      <w:tr w:rsidR="00BC0329" w14:paraId="277A307C" w14:textId="77777777" w:rsidTr="00507060">
        <w:tc>
          <w:tcPr>
            <w:tcW w:w="4678" w:type="dxa"/>
            <w:tcBorders>
              <w:top w:val="single" w:sz="4" w:space="0" w:color="auto"/>
              <w:left w:val="single" w:sz="4" w:space="0" w:color="auto"/>
              <w:bottom w:val="single" w:sz="4" w:space="0" w:color="auto"/>
              <w:right w:val="single" w:sz="4" w:space="0" w:color="auto"/>
            </w:tcBorders>
          </w:tcPr>
          <w:p w14:paraId="3D213A9D" w14:textId="77777777" w:rsidR="00BC0329" w:rsidRDefault="00BC0329" w:rsidP="00272893">
            <w:pPr>
              <w:rPr>
                <w:rFonts w:cstheme="minorHAnsi"/>
              </w:rPr>
            </w:pPr>
          </w:p>
        </w:tc>
        <w:tc>
          <w:tcPr>
            <w:tcW w:w="4820" w:type="dxa"/>
            <w:tcBorders>
              <w:top w:val="single" w:sz="4" w:space="0" w:color="auto"/>
              <w:left w:val="single" w:sz="4" w:space="0" w:color="auto"/>
              <w:bottom w:val="single" w:sz="4" w:space="0" w:color="auto"/>
              <w:right w:val="single" w:sz="4" w:space="0" w:color="auto"/>
            </w:tcBorders>
          </w:tcPr>
          <w:p w14:paraId="3ED25E58" w14:textId="77777777" w:rsidR="00BC0329" w:rsidRDefault="00BC0329" w:rsidP="00272893">
            <w:pPr>
              <w:rPr>
                <w:rFonts w:cstheme="minorHAnsi"/>
              </w:rPr>
            </w:pPr>
          </w:p>
        </w:tc>
      </w:tr>
    </w:tbl>
    <w:p w14:paraId="15A2C8B6" w14:textId="77777777" w:rsidR="00BC0329" w:rsidRDefault="00BC0329" w:rsidP="00BC0329"/>
    <w:p w14:paraId="0C0D6CD7" w14:textId="0AA13714" w:rsidR="00E032C2" w:rsidRDefault="00E032C2" w:rsidP="00E032C2">
      <w:pPr>
        <w:tabs>
          <w:tab w:val="left" w:pos="6220"/>
        </w:tabs>
      </w:pPr>
    </w:p>
    <w:p w14:paraId="1FCEFB79" w14:textId="704DF80A" w:rsidR="00CC166C" w:rsidRDefault="00C44684" w:rsidP="00E032C2">
      <w:pPr>
        <w:tabs>
          <w:tab w:val="left" w:pos="6220"/>
        </w:tabs>
      </w:pPr>
      <w:r>
        <w:t xml:space="preserve">Approved </w:t>
      </w:r>
      <w:r w:rsidR="008E252A">
        <w:t>at ARAC 11 March 2025</w:t>
      </w:r>
    </w:p>
    <w:p w14:paraId="234D6A90" w14:textId="77777777" w:rsidR="008E252A" w:rsidRDefault="008E252A" w:rsidP="00E032C2">
      <w:pPr>
        <w:tabs>
          <w:tab w:val="left" w:pos="6220"/>
        </w:tabs>
      </w:pPr>
    </w:p>
    <w:p w14:paraId="449A872B" w14:textId="7C4A14F8" w:rsidR="008E252A" w:rsidRDefault="008E252A" w:rsidP="00E032C2">
      <w:pPr>
        <w:tabs>
          <w:tab w:val="left" w:pos="6220"/>
        </w:tabs>
      </w:pPr>
      <w:r>
        <w:t>Approved for Release by Governing Body 31 March 2025</w:t>
      </w:r>
    </w:p>
    <w:p w14:paraId="5152E57E" w14:textId="05019A12" w:rsidR="00FD4EFF" w:rsidRPr="00E032C2" w:rsidRDefault="00FD4EFF" w:rsidP="00E032C2">
      <w:pPr>
        <w:tabs>
          <w:tab w:val="left" w:pos="6220"/>
        </w:tabs>
      </w:pPr>
    </w:p>
    <w:sectPr w:rsidR="00FD4EFF" w:rsidRPr="00E032C2" w:rsidSect="00B82DB4">
      <w:headerReference w:type="default" r:id="rId15"/>
      <w:footerReference w:type="default" r:id="rId16"/>
      <w:headerReference w:type="first" r:id="rId17"/>
      <w:footerReference w:type="first" r:id="rId18"/>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56DB" w14:textId="77777777" w:rsidR="00A7192F" w:rsidRDefault="00A7192F" w:rsidP="0046542E">
      <w:pPr>
        <w:spacing w:after="0" w:line="240" w:lineRule="auto"/>
      </w:pPr>
      <w:r>
        <w:separator/>
      </w:r>
    </w:p>
  </w:endnote>
  <w:endnote w:type="continuationSeparator" w:id="0">
    <w:p w14:paraId="26D5B63F" w14:textId="77777777" w:rsidR="00A7192F" w:rsidRDefault="00A7192F" w:rsidP="0046542E">
      <w:pPr>
        <w:spacing w:after="0" w:line="240" w:lineRule="auto"/>
      </w:pPr>
      <w:r>
        <w:continuationSeparator/>
      </w:r>
    </w:p>
  </w:endnote>
  <w:endnote w:type="continuationNotice" w:id="1">
    <w:p w14:paraId="4F8FE2F1" w14:textId="77777777" w:rsidR="00A7192F" w:rsidRDefault="00A71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rPr>
      <w:id w:val="-1031790971"/>
      <w:docPartObj>
        <w:docPartGallery w:val="Page Numbers (Bottom of Page)"/>
        <w:docPartUnique/>
      </w:docPartObj>
    </w:sdtPr>
    <w:sdtEndPr>
      <w:rPr>
        <w:color w:val="FF0000"/>
      </w:rPr>
    </w:sdtEndPr>
    <w:sdtContent>
      <w:sdt>
        <w:sdtPr>
          <w:rPr>
            <w:rFonts w:asciiTheme="minorHAnsi" w:eastAsiaTheme="minorEastAsia" w:hAnsiTheme="minorHAnsi" w:cstheme="minorBidi"/>
          </w:rPr>
          <w:id w:val="-1705238520"/>
          <w:docPartObj>
            <w:docPartGallery w:val="Page Numbers (Top of Page)"/>
            <w:docPartUnique/>
          </w:docPartObj>
        </w:sdtPr>
        <w:sdtEndPr>
          <w:rPr>
            <w:color w:val="FF0000"/>
          </w:rPr>
        </w:sdtEndPr>
        <w:sdtContent>
          <w:p w14:paraId="222DDC6F" w14:textId="6C4D22B6" w:rsidR="000F284E" w:rsidRPr="00A36F8F" w:rsidRDefault="0088655A" w:rsidP="000F284E">
            <w:pPr>
              <w:rPr>
                <w:rFonts w:cs="Arial"/>
                <w:b/>
                <w:bCs/>
              </w:rPr>
            </w:pPr>
            <w:r w:rsidRPr="0088655A">
              <w:t xml:space="preserve">Page </w:t>
            </w:r>
            <w:r w:rsidRPr="0088655A">
              <w:rPr>
                <w:b/>
                <w:bCs/>
              </w:rPr>
              <w:fldChar w:fldCharType="begin"/>
            </w:r>
            <w:r w:rsidRPr="0088655A">
              <w:rPr>
                <w:b/>
                <w:bCs/>
              </w:rPr>
              <w:instrText xml:space="preserve"> PAGE </w:instrText>
            </w:r>
            <w:r w:rsidRPr="0088655A">
              <w:rPr>
                <w:b/>
                <w:bCs/>
              </w:rPr>
              <w:fldChar w:fldCharType="separate"/>
            </w:r>
            <w:r w:rsidR="0043285C">
              <w:rPr>
                <w:b/>
                <w:bCs/>
                <w:noProof/>
              </w:rPr>
              <w:t>3</w:t>
            </w:r>
            <w:r w:rsidRPr="0088655A">
              <w:rPr>
                <w:b/>
                <w:bCs/>
              </w:rPr>
              <w:fldChar w:fldCharType="end"/>
            </w:r>
            <w:r w:rsidRPr="0088655A">
              <w:t xml:space="preserve"> of </w:t>
            </w:r>
            <w:r w:rsidRPr="0088655A">
              <w:rPr>
                <w:b/>
                <w:bCs/>
              </w:rPr>
              <w:fldChar w:fldCharType="begin"/>
            </w:r>
            <w:r w:rsidRPr="0088655A">
              <w:rPr>
                <w:b/>
                <w:bCs/>
              </w:rPr>
              <w:instrText xml:space="preserve"> NUMPAGES  </w:instrText>
            </w:r>
            <w:r w:rsidRPr="0088655A">
              <w:rPr>
                <w:b/>
                <w:bCs/>
              </w:rPr>
              <w:fldChar w:fldCharType="separate"/>
            </w:r>
            <w:r w:rsidR="0043285C">
              <w:rPr>
                <w:b/>
                <w:bCs/>
                <w:noProof/>
              </w:rPr>
              <w:t>3</w:t>
            </w:r>
            <w:r w:rsidRPr="0088655A">
              <w:rPr>
                <w:b/>
                <w:bCs/>
              </w:rPr>
              <w:fldChar w:fldCharType="end"/>
            </w:r>
            <w:r w:rsidRPr="0088655A">
              <w:rPr>
                <w:b/>
                <w:bCs/>
              </w:rPr>
              <w:t xml:space="preserve"> </w:t>
            </w:r>
            <w:r w:rsidR="105F1806" w:rsidRPr="105F1806">
              <w:rPr>
                <w:b/>
                <w:bCs/>
                <w:color w:val="104864" w:themeColor="background2" w:themeShade="40"/>
              </w:rPr>
              <w:t>AC</w:t>
            </w:r>
            <w:r w:rsidR="00B82DB4">
              <w:rPr>
                <w:b/>
                <w:bCs/>
                <w:color w:val="104864" w:themeColor="background2" w:themeShade="40"/>
              </w:rPr>
              <w:t xml:space="preserve"> </w:t>
            </w:r>
            <w:r w:rsidR="00193FAA" w:rsidRPr="00731916">
              <w:rPr>
                <w:b/>
                <w:bCs/>
                <w:color w:val="104864" w:themeColor="background2" w:themeShade="40"/>
              </w:rPr>
              <w:t>2</w:t>
            </w:r>
            <w:r w:rsidR="00873883">
              <w:rPr>
                <w:b/>
                <w:bCs/>
                <w:color w:val="104864" w:themeColor="background2" w:themeShade="40"/>
              </w:rPr>
              <w:t>4</w:t>
            </w:r>
            <w:r w:rsidRPr="00731916">
              <w:rPr>
                <w:b/>
                <w:bCs/>
                <w:color w:val="104864" w:themeColor="background2" w:themeShade="40"/>
              </w:rPr>
              <w:t>/2</w:t>
            </w:r>
            <w:r w:rsidR="00873883">
              <w:rPr>
                <w:b/>
                <w:bCs/>
                <w:color w:val="104864" w:themeColor="background2" w:themeShade="40"/>
              </w:rPr>
              <w:t>5</w:t>
            </w:r>
            <w:r w:rsidRPr="00731916">
              <w:rPr>
                <w:b/>
                <w:bCs/>
                <w:color w:val="104864" w:themeColor="background2" w:themeShade="40"/>
              </w:rPr>
              <w:t xml:space="preserve"> </w:t>
            </w:r>
            <w:r w:rsidR="0053734B">
              <w:rPr>
                <w:b/>
                <w:bCs/>
              </w:rPr>
              <w:t xml:space="preserve">Minutes of ARAC Meeting held </w:t>
            </w:r>
            <w:r w:rsidR="105F1806" w:rsidRPr="105F1806">
              <w:rPr>
                <w:b/>
                <w:bCs/>
              </w:rPr>
              <w:t>1</w:t>
            </w:r>
            <w:r w:rsidR="001E3CC5">
              <w:rPr>
                <w:b/>
                <w:bCs/>
              </w:rPr>
              <w:t>8</w:t>
            </w:r>
            <w:r w:rsidR="105F1806" w:rsidRPr="105F1806">
              <w:rPr>
                <w:b/>
                <w:bCs/>
              </w:rPr>
              <w:t xml:space="preserve"> Nov</w:t>
            </w:r>
            <w:r w:rsidR="00A04791">
              <w:rPr>
                <w:b/>
                <w:bCs/>
              </w:rPr>
              <w:t xml:space="preserve"> 202</w:t>
            </w:r>
            <w:r w:rsidR="00A36F8F">
              <w:rPr>
                <w:b/>
                <w:bCs/>
              </w:rPr>
              <w:t>4</w:t>
            </w:r>
            <w:r w:rsidR="00A02FE6">
              <w:rPr>
                <w:b/>
                <w:bCs/>
              </w:rPr>
              <w:t xml:space="preserve"> </w:t>
            </w:r>
            <w:r w:rsidR="00947016">
              <w:rPr>
                <w:b/>
                <w:bCs/>
              </w:rPr>
              <w:t>Minutes</w:t>
            </w:r>
            <w:r w:rsidR="00E86231">
              <w:rPr>
                <w:rFonts w:cs="Arial"/>
                <w:b/>
                <w:bCs/>
              </w:rPr>
              <w:t xml:space="preserve"> </w:t>
            </w:r>
            <w:r w:rsidR="00EF60F7">
              <w:rPr>
                <w:rFonts w:cs="Arial"/>
                <w:b/>
                <w:bCs/>
              </w:rPr>
              <w:t>FINAL</w:t>
            </w:r>
          </w:p>
          <w:p w14:paraId="51AAF913" w14:textId="546E5654" w:rsidR="0088655A" w:rsidRPr="0088655A" w:rsidRDefault="00793098">
            <w:pPr>
              <w:pStyle w:val="Footer"/>
            </w:pPr>
            <w:r w:rsidRPr="00ED671B">
              <w:rPr>
                <w:b/>
                <w:bCs/>
              </w:rPr>
              <w:t xml:space="preserve"> </w:t>
            </w:r>
          </w:p>
        </w:sdtContent>
      </w:sdt>
    </w:sdtContent>
  </w:sdt>
  <w:p w14:paraId="27222ABE" w14:textId="77777777" w:rsidR="0088655A" w:rsidRPr="0088655A" w:rsidRDefault="0088655A">
    <w:pPr>
      <w:pStyle w:val="Footer"/>
    </w:pPr>
  </w:p>
  <w:p w14:paraId="69DF9376" w14:textId="77777777" w:rsidR="005921FA" w:rsidRDefault="005921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BF44DD" w14:paraId="25216379" w14:textId="77777777" w:rsidTr="6EBF44DD">
      <w:trPr>
        <w:trHeight w:val="300"/>
      </w:trPr>
      <w:tc>
        <w:tcPr>
          <w:tcW w:w="3005" w:type="dxa"/>
        </w:tcPr>
        <w:p w14:paraId="347961F9" w14:textId="348FFF4C" w:rsidR="6EBF44DD" w:rsidRDefault="6EBF44DD" w:rsidP="6EBF44DD">
          <w:pPr>
            <w:pStyle w:val="Header"/>
            <w:ind w:left="-115"/>
          </w:pPr>
        </w:p>
      </w:tc>
      <w:tc>
        <w:tcPr>
          <w:tcW w:w="3005" w:type="dxa"/>
        </w:tcPr>
        <w:p w14:paraId="57B29D2C" w14:textId="09A62A52" w:rsidR="6EBF44DD" w:rsidRDefault="6EBF44DD" w:rsidP="6EBF44DD">
          <w:pPr>
            <w:pStyle w:val="Header"/>
            <w:jc w:val="center"/>
          </w:pPr>
        </w:p>
      </w:tc>
      <w:tc>
        <w:tcPr>
          <w:tcW w:w="3005" w:type="dxa"/>
        </w:tcPr>
        <w:p w14:paraId="274165C9" w14:textId="4DC08F40" w:rsidR="6EBF44DD" w:rsidRDefault="6EBF44DD" w:rsidP="6EBF44DD">
          <w:pPr>
            <w:pStyle w:val="Header"/>
            <w:ind w:right="-115"/>
            <w:jc w:val="right"/>
          </w:pPr>
        </w:p>
      </w:tc>
    </w:tr>
  </w:tbl>
  <w:p w14:paraId="09A8E9C4" w14:textId="0557FF53" w:rsidR="6EBF44DD" w:rsidRDefault="6EBF44DD" w:rsidP="6EBF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4CC7" w14:textId="77777777" w:rsidR="00A7192F" w:rsidRDefault="00A7192F" w:rsidP="0046542E">
      <w:pPr>
        <w:spacing w:after="0" w:line="240" w:lineRule="auto"/>
      </w:pPr>
      <w:r>
        <w:separator/>
      </w:r>
    </w:p>
  </w:footnote>
  <w:footnote w:type="continuationSeparator" w:id="0">
    <w:p w14:paraId="5CE8F405" w14:textId="77777777" w:rsidR="00A7192F" w:rsidRDefault="00A7192F" w:rsidP="0046542E">
      <w:pPr>
        <w:spacing w:after="0" w:line="240" w:lineRule="auto"/>
      </w:pPr>
      <w:r>
        <w:continuationSeparator/>
      </w:r>
    </w:p>
  </w:footnote>
  <w:footnote w:type="continuationNotice" w:id="1">
    <w:p w14:paraId="6F39E34E" w14:textId="77777777" w:rsidR="00A7192F" w:rsidRDefault="00A719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E92A" w14:textId="3D2094B8" w:rsidR="00BE045A" w:rsidRPr="00BE045A" w:rsidRDefault="00BE045A">
    <w:pPr>
      <w:pStyle w:val="Header"/>
      <w:rPr>
        <w:color w:val="0F6FC6" w:themeColor="accent1"/>
        <w:sz w:val="16"/>
        <w:szCs w:val="16"/>
      </w:rPr>
    </w:pPr>
    <w:r w:rsidRPr="00BE045A">
      <w:rPr>
        <w:noProof/>
        <w:color w:val="0F6FC6" w:themeColor="accent1"/>
        <w:sz w:val="16"/>
        <w:szCs w:val="16"/>
        <w:lang w:eastAsia="en-GB"/>
      </w:rPr>
      <mc:AlternateContent>
        <mc:Choice Requires="wps">
          <w:drawing>
            <wp:anchor distT="0" distB="0" distL="118745" distR="118745" simplePos="0" relativeHeight="251658240" behindDoc="1" locked="0" layoutInCell="1" allowOverlap="0" wp14:anchorId="766AFA6B" wp14:editId="0115D994">
              <wp:simplePos x="0" y="0"/>
              <wp:positionH relativeFrom="margin">
                <wp:align>right</wp:align>
              </wp:positionH>
              <wp:positionV relativeFrom="page">
                <wp:posOffset>290498</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5CD7F7AD" w14:textId="40EDB002" w:rsidR="00BE045A" w:rsidRPr="00094EC0" w:rsidRDefault="00EF60F7">
                              <w:pPr>
                                <w:pStyle w:val="Header"/>
                                <w:jc w:val="center"/>
                                <w:rPr>
                                  <w:color w:val="0075A2" w:themeColor="accent2" w:themeShade="BF"/>
                                </w:rPr>
                              </w:pPr>
                              <w:r>
                                <w:rPr>
                                  <w:b/>
                                  <w:color w:val="0B5294" w:themeColor="accent1" w:themeShade="BF"/>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6AFA6B" id="Rectangle 197" o:spid="_x0000_s1026"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5CD7F7AD" w14:textId="40EDB002" w:rsidR="00BE045A" w:rsidRPr="00094EC0" w:rsidRDefault="00EF60F7">
                        <w:pPr>
                          <w:pStyle w:val="Header"/>
                          <w:jc w:val="center"/>
                          <w:rPr>
                            <w:color w:val="0075A2" w:themeColor="accent2" w:themeShade="BF"/>
                          </w:rPr>
                        </w:pPr>
                        <w:r>
                          <w:rPr>
                            <w:b/>
                            <w:color w:val="0B5294" w:themeColor="accent1" w:themeShade="BF"/>
                          </w:rPr>
                          <w:t xml:space="preserve">     </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BF44DD" w14:paraId="015AC3C9" w14:textId="77777777" w:rsidTr="6EBF44DD">
      <w:trPr>
        <w:trHeight w:val="300"/>
      </w:trPr>
      <w:tc>
        <w:tcPr>
          <w:tcW w:w="3005" w:type="dxa"/>
        </w:tcPr>
        <w:p w14:paraId="36E804D3" w14:textId="265AD824" w:rsidR="6EBF44DD" w:rsidRDefault="6EBF44DD" w:rsidP="6EBF44DD">
          <w:pPr>
            <w:pStyle w:val="Header"/>
            <w:ind w:left="-115"/>
          </w:pPr>
        </w:p>
      </w:tc>
      <w:tc>
        <w:tcPr>
          <w:tcW w:w="3005" w:type="dxa"/>
        </w:tcPr>
        <w:p w14:paraId="34CBA480" w14:textId="3DED2649" w:rsidR="6EBF44DD" w:rsidRDefault="6EBF44DD" w:rsidP="6EBF44DD">
          <w:pPr>
            <w:pStyle w:val="Header"/>
            <w:jc w:val="center"/>
          </w:pPr>
        </w:p>
      </w:tc>
      <w:tc>
        <w:tcPr>
          <w:tcW w:w="3005" w:type="dxa"/>
        </w:tcPr>
        <w:p w14:paraId="3D572B81" w14:textId="598ED24A" w:rsidR="6EBF44DD" w:rsidRDefault="6EBF44DD" w:rsidP="6EBF44DD">
          <w:pPr>
            <w:pStyle w:val="Header"/>
            <w:ind w:right="-115"/>
            <w:jc w:val="right"/>
          </w:pPr>
        </w:p>
      </w:tc>
    </w:tr>
  </w:tbl>
  <w:p w14:paraId="2E988110" w14:textId="746BD854" w:rsidR="6EBF44DD" w:rsidRDefault="6EBF44DD" w:rsidP="6EBF4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94"/>
    <w:multiLevelType w:val="hybridMultilevel"/>
    <w:tmpl w:val="0D96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1C68"/>
    <w:multiLevelType w:val="hybridMultilevel"/>
    <w:tmpl w:val="F52093C6"/>
    <w:lvl w:ilvl="0" w:tplc="B3E87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720C3"/>
    <w:multiLevelType w:val="hybridMultilevel"/>
    <w:tmpl w:val="49D616B4"/>
    <w:lvl w:ilvl="0" w:tplc="FFFFFFFF">
      <w:start w:val="1"/>
      <w:numFmt w:val="lowerLetter"/>
      <w:lvlText w:val="(%1)"/>
      <w:lvlJc w:val="left"/>
      <w:pPr>
        <w:ind w:left="795" w:hanging="43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3905AC"/>
    <w:multiLevelType w:val="hybridMultilevel"/>
    <w:tmpl w:val="7C8EEFCA"/>
    <w:lvl w:ilvl="0" w:tplc="36082BB0">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A2128"/>
    <w:multiLevelType w:val="hybridMultilevel"/>
    <w:tmpl w:val="B638FC36"/>
    <w:lvl w:ilvl="0" w:tplc="8B76CC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01477"/>
    <w:multiLevelType w:val="hybridMultilevel"/>
    <w:tmpl w:val="913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71179"/>
    <w:multiLevelType w:val="hybridMultilevel"/>
    <w:tmpl w:val="279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61055"/>
    <w:multiLevelType w:val="hybridMultilevel"/>
    <w:tmpl w:val="BF00D89C"/>
    <w:lvl w:ilvl="0" w:tplc="8730D55A">
      <w:start w:val="1"/>
      <w:numFmt w:val="lowerLetter"/>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36A69"/>
    <w:multiLevelType w:val="hybridMultilevel"/>
    <w:tmpl w:val="A584245C"/>
    <w:lvl w:ilvl="0" w:tplc="DEACF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7675B"/>
    <w:multiLevelType w:val="hybridMultilevel"/>
    <w:tmpl w:val="595A32EC"/>
    <w:lvl w:ilvl="0" w:tplc="D0E225DE">
      <w:start w:val="1"/>
      <w:numFmt w:val="decimal"/>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3E3B50"/>
    <w:multiLevelType w:val="hybridMultilevel"/>
    <w:tmpl w:val="D86AE718"/>
    <w:lvl w:ilvl="0" w:tplc="E536E9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41B7A"/>
    <w:multiLevelType w:val="hybridMultilevel"/>
    <w:tmpl w:val="9D5EB12E"/>
    <w:lvl w:ilvl="0" w:tplc="B142B0DC">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028606A"/>
    <w:multiLevelType w:val="hybridMultilevel"/>
    <w:tmpl w:val="F0FEFD58"/>
    <w:lvl w:ilvl="0" w:tplc="BCA0C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953B1"/>
    <w:multiLevelType w:val="hybridMultilevel"/>
    <w:tmpl w:val="FA6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7618A"/>
    <w:multiLevelType w:val="hybridMultilevel"/>
    <w:tmpl w:val="AE72D0B2"/>
    <w:lvl w:ilvl="0" w:tplc="D74E7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377A88"/>
    <w:multiLevelType w:val="hybridMultilevel"/>
    <w:tmpl w:val="AD5E8D38"/>
    <w:lvl w:ilvl="0" w:tplc="E1948F86">
      <w:start w:val="1"/>
      <w:numFmt w:val="lowerLetter"/>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11679"/>
    <w:multiLevelType w:val="hybridMultilevel"/>
    <w:tmpl w:val="7C10FC1E"/>
    <w:lvl w:ilvl="0" w:tplc="E77412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4A2538"/>
    <w:multiLevelType w:val="hybridMultilevel"/>
    <w:tmpl w:val="879AA032"/>
    <w:lvl w:ilvl="0" w:tplc="E0CEC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77E1F"/>
    <w:multiLevelType w:val="hybridMultilevel"/>
    <w:tmpl w:val="49D616B4"/>
    <w:lvl w:ilvl="0" w:tplc="D87CC64E">
      <w:start w:val="1"/>
      <w:numFmt w:val="lowerLetter"/>
      <w:lvlText w:val="(%1)"/>
      <w:lvlJc w:val="left"/>
      <w:pPr>
        <w:ind w:left="435" w:hanging="43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3EC7962"/>
    <w:multiLevelType w:val="hybridMultilevel"/>
    <w:tmpl w:val="04E8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0E76"/>
    <w:multiLevelType w:val="multilevel"/>
    <w:tmpl w:val="05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71E17"/>
    <w:multiLevelType w:val="hybridMultilevel"/>
    <w:tmpl w:val="7038ACF6"/>
    <w:lvl w:ilvl="0" w:tplc="8EE8C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95768"/>
    <w:multiLevelType w:val="hybridMultilevel"/>
    <w:tmpl w:val="94FC11D2"/>
    <w:lvl w:ilvl="0" w:tplc="5B4C0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F5D23"/>
    <w:multiLevelType w:val="hybridMultilevel"/>
    <w:tmpl w:val="7CDA45D0"/>
    <w:lvl w:ilvl="0" w:tplc="81E48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150A8B"/>
    <w:multiLevelType w:val="hybridMultilevel"/>
    <w:tmpl w:val="33D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A5D24"/>
    <w:multiLevelType w:val="hybridMultilevel"/>
    <w:tmpl w:val="9DBCA8BE"/>
    <w:lvl w:ilvl="0" w:tplc="DA9AE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516F6E"/>
    <w:multiLevelType w:val="multilevel"/>
    <w:tmpl w:val="5134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C3504"/>
    <w:multiLevelType w:val="hybridMultilevel"/>
    <w:tmpl w:val="7CB6BA26"/>
    <w:lvl w:ilvl="0" w:tplc="A8D6B042">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85906"/>
    <w:multiLevelType w:val="multilevel"/>
    <w:tmpl w:val="0D945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43254"/>
    <w:multiLevelType w:val="hybridMultilevel"/>
    <w:tmpl w:val="6C30E99C"/>
    <w:lvl w:ilvl="0" w:tplc="F1DC4E0A">
      <w:start w:val="1"/>
      <w:numFmt w:val="lowerLetter"/>
      <w:lvlText w:val="(%1)"/>
      <w:lvlJc w:val="left"/>
      <w:pPr>
        <w:ind w:left="1080" w:hanging="360"/>
      </w:pPr>
      <w:rPr>
        <w:rFonts w:ascii="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470EB3"/>
    <w:multiLevelType w:val="hybridMultilevel"/>
    <w:tmpl w:val="48F8B260"/>
    <w:lvl w:ilvl="0" w:tplc="E21CE5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31C6E"/>
    <w:multiLevelType w:val="hybridMultilevel"/>
    <w:tmpl w:val="0CEC02B2"/>
    <w:lvl w:ilvl="0" w:tplc="EA7631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413A1"/>
    <w:multiLevelType w:val="hybridMultilevel"/>
    <w:tmpl w:val="5952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648D8"/>
    <w:multiLevelType w:val="hybridMultilevel"/>
    <w:tmpl w:val="CDB079A4"/>
    <w:lvl w:ilvl="0" w:tplc="B6F671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B6F581D"/>
    <w:multiLevelType w:val="hybridMultilevel"/>
    <w:tmpl w:val="273E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250B8"/>
    <w:multiLevelType w:val="hybridMultilevel"/>
    <w:tmpl w:val="BC1ABF88"/>
    <w:lvl w:ilvl="0" w:tplc="A0648632">
      <w:start w:val="1"/>
      <w:numFmt w:val="lowerLetter"/>
      <w:lvlText w:val="(%1)"/>
      <w:lvlJc w:val="left"/>
      <w:pPr>
        <w:ind w:left="720" w:hanging="360"/>
      </w:pPr>
      <w:rPr>
        <w:rFonts w:ascii="Calibri" w:hAnsi="Calibri"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A34076"/>
    <w:multiLevelType w:val="hybridMultilevel"/>
    <w:tmpl w:val="4DE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A67029"/>
    <w:multiLevelType w:val="hybridMultilevel"/>
    <w:tmpl w:val="8488C574"/>
    <w:lvl w:ilvl="0" w:tplc="216C93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10622"/>
    <w:multiLevelType w:val="hybridMultilevel"/>
    <w:tmpl w:val="2076B404"/>
    <w:lvl w:ilvl="0" w:tplc="48B81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875569"/>
    <w:multiLevelType w:val="hybridMultilevel"/>
    <w:tmpl w:val="75CC7B36"/>
    <w:lvl w:ilvl="0" w:tplc="774E7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704298">
    <w:abstractNumId w:val="7"/>
  </w:num>
  <w:num w:numId="2" w16cid:durableId="452940341">
    <w:abstractNumId w:val="15"/>
  </w:num>
  <w:num w:numId="3" w16cid:durableId="1468620072">
    <w:abstractNumId w:val="35"/>
  </w:num>
  <w:num w:numId="4" w16cid:durableId="1897467769">
    <w:abstractNumId w:val="3"/>
  </w:num>
  <w:num w:numId="5" w16cid:durableId="515118257">
    <w:abstractNumId w:val="21"/>
  </w:num>
  <w:num w:numId="6" w16cid:durableId="1271933969">
    <w:abstractNumId w:val="37"/>
    <w:lvlOverride w:ilvl="0"/>
    <w:lvlOverride w:ilvl="1">
      <w:startOverride w:val="1"/>
    </w:lvlOverride>
    <w:lvlOverride w:ilvl="2"/>
    <w:lvlOverride w:ilvl="3"/>
    <w:lvlOverride w:ilvl="4"/>
    <w:lvlOverride w:ilvl="5"/>
    <w:lvlOverride w:ilvl="6"/>
    <w:lvlOverride w:ilvl="7"/>
    <w:lvlOverride w:ilvl="8"/>
  </w:num>
  <w:num w:numId="7" w16cid:durableId="1107962568">
    <w:abstractNumId w:val="14"/>
  </w:num>
  <w:num w:numId="8" w16cid:durableId="538738361">
    <w:abstractNumId w:val="40"/>
  </w:num>
  <w:num w:numId="9" w16cid:durableId="383453345">
    <w:abstractNumId w:val="29"/>
  </w:num>
  <w:num w:numId="10" w16cid:durableId="1567495954">
    <w:abstractNumId w:val="19"/>
  </w:num>
  <w:num w:numId="11" w16cid:durableId="1215578497">
    <w:abstractNumId w:val="11"/>
  </w:num>
  <w:num w:numId="12" w16cid:durableId="1152984588">
    <w:abstractNumId w:val="17"/>
  </w:num>
  <w:num w:numId="13" w16cid:durableId="2022781975">
    <w:abstractNumId w:val="13"/>
  </w:num>
  <w:num w:numId="14" w16cid:durableId="294139262">
    <w:abstractNumId w:val="30"/>
  </w:num>
  <w:num w:numId="15" w16cid:durableId="1624849262">
    <w:abstractNumId w:val="1"/>
  </w:num>
  <w:num w:numId="16" w16cid:durableId="1909802417">
    <w:abstractNumId w:val="5"/>
  </w:num>
  <w:num w:numId="17" w16cid:durableId="1334449394">
    <w:abstractNumId w:val="4"/>
  </w:num>
  <w:num w:numId="18" w16cid:durableId="1216046902">
    <w:abstractNumId w:val="8"/>
  </w:num>
  <w:num w:numId="19" w16cid:durableId="360014984">
    <w:abstractNumId w:val="24"/>
  </w:num>
  <w:num w:numId="20" w16cid:durableId="1505894578">
    <w:abstractNumId w:val="32"/>
  </w:num>
  <w:num w:numId="21" w16cid:durableId="510486820">
    <w:abstractNumId w:val="0"/>
  </w:num>
  <w:num w:numId="22" w16cid:durableId="1866364546">
    <w:abstractNumId w:val="10"/>
  </w:num>
  <w:num w:numId="23" w16cid:durableId="712920503">
    <w:abstractNumId w:val="12"/>
  </w:num>
  <w:num w:numId="24" w16cid:durableId="1397314626">
    <w:abstractNumId w:val="22"/>
  </w:num>
  <w:num w:numId="25" w16cid:durableId="703482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232118">
    <w:abstractNumId w:val="38"/>
  </w:num>
  <w:num w:numId="27" w16cid:durableId="1807821155">
    <w:abstractNumId w:val="39"/>
  </w:num>
  <w:num w:numId="28" w16cid:durableId="958488590">
    <w:abstractNumId w:val="36"/>
  </w:num>
  <w:num w:numId="29" w16cid:durableId="2110391785">
    <w:abstractNumId w:val="26"/>
  </w:num>
  <w:num w:numId="30" w16cid:durableId="1864588527">
    <w:abstractNumId w:val="6"/>
  </w:num>
  <w:num w:numId="31" w16cid:durableId="1581520216">
    <w:abstractNumId w:val="25"/>
  </w:num>
  <w:num w:numId="32" w16cid:durableId="1378429353">
    <w:abstractNumId w:val="27"/>
  </w:num>
  <w:num w:numId="33" w16cid:durableId="286199077">
    <w:abstractNumId w:val="31"/>
  </w:num>
  <w:num w:numId="34" w16cid:durableId="1812601485">
    <w:abstractNumId w:val="23"/>
  </w:num>
  <w:num w:numId="35" w16cid:durableId="1433166429">
    <w:abstractNumId w:val="28"/>
  </w:num>
  <w:num w:numId="36" w16cid:durableId="1812362176">
    <w:abstractNumId w:val="20"/>
  </w:num>
  <w:num w:numId="37" w16cid:durableId="795106105">
    <w:abstractNumId w:val="34"/>
  </w:num>
  <w:num w:numId="38" w16cid:durableId="1609241963">
    <w:abstractNumId w:val="9"/>
  </w:num>
  <w:num w:numId="39" w16cid:durableId="1759446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81863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8091318">
    <w:abstractNumId w:val="18"/>
  </w:num>
  <w:num w:numId="42" w16cid:durableId="4485518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2367"/>
    <w:rsid w:val="0000444C"/>
    <w:rsid w:val="0000491A"/>
    <w:rsid w:val="000111A1"/>
    <w:rsid w:val="00014A56"/>
    <w:rsid w:val="000164E5"/>
    <w:rsid w:val="0004274A"/>
    <w:rsid w:val="000444AB"/>
    <w:rsid w:val="000455B5"/>
    <w:rsid w:val="00045B8D"/>
    <w:rsid w:val="00047963"/>
    <w:rsid w:val="00047CB8"/>
    <w:rsid w:val="00050517"/>
    <w:rsid w:val="000534DE"/>
    <w:rsid w:val="000536A1"/>
    <w:rsid w:val="00053BD8"/>
    <w:rsid w:val="000670BC"/>
    <w:rsid w:val="00070BDB"/>
    <w:rsid w:val="00071824"/>
    <w:rsid w:val="000777F1"/>
    <w:rsid w:val="000823D8"/>
    <w:rsid w:val="00083EFE"/>
    <w:rsid w:val="00084C44"/>
    <w:rsid w:val="00084D22"/>
    <w:rsid w:val="00084F8C"/>
    <w:rsid w:val="00094EC0"/>
    <w:rsid w:val="00097F1F"/>
    <w:rsid w:val="000A42D2"/>
    <w:rsid w:val="000A5BBF"/>
    <w:rsid w:val="000A5BE3"/>
    <w:rsid w:val="000A5F37"/>
    <w:rsid w:val="000A6D26"/>
    <w:rsid w:val="000A784B"/>
    <w:rsid w:val="000B2F2C"/>
    <w:rsid w:val="000B78DC"/>
    <w:rsid w:val="000C0642"/>
    <w:rsid w:val="000C3308"/>
    <w:rsid w:val="000C40F8"/>
    <w:rsid w:val="000C4B3C"/>
    <w:rsid w:val="000C5849"/>
    <w:rsid w:val="000C70A8"/>
    <w:rsid w:val="000D14C1"/>
    <w:rsid w:val="000D6803"/>
    <w:rsid w:val="000E4AAF"/>
    <w:rsid w:val="000E67AF"/>
    <w:rsid w:val="000F149D"/>
    <w:rsid w:val="000F284E"/>
    <w:rsid w:val="000F2FFC"/>
    <w:rsid w:val="000F55C6"/>
    <w:rsid w:val="00104259"/>
    <w:rsid w:val="00105675"/>
    <w:rsid w:val="001075A2"/>
    <w:rsid w:val="0011746F"/>
    <w:rsid w:val="00121C01"/>
    <w:rsid w:val="00122879"/>
    <w:rsid w:val="00124151"/>
    <w:rsid w:val="00126179"/>
    <w:rsid w:val="001273DA"/>
    <w:rsid w:val="001327CB"/>
    <w:rsid w:val="00132EAB"/>
    <w:rsid w:val="00133FBC"/>
    <w:rsid w:val="00134DA0"/>
    <w:rsid w:val="001352F1"/>
    <w:rsid w:val="001356E1"/>
    <w:rsid w:val="001358D2"/>
    <w:rsid w:val="00145501"/>
    <w:rsid w:val="0014659A"/>
    <w:rsid w:val="001517E5"/>
    <w:rsid w:val="001543DE"/>
    <w:rsid w:val="00155A5A"/>
    <w:rsid w:val="00155E54"/>
    <w:rsid w:val="00162396"/>
    <w:rsid w:val="0016593A"/>
    <w:rsid w:val="00165AA7"/>
    <w:rsid w:val="00171080"/>
    <w:rsid w:val="0017230E"/>
    <w:rsid w:val="00174968"/>
    <w:rsid w:val="00175DEC"/>
    <w:rsid w:val="001776AE"/>
    <w:rsid w:val="00180BC3"/>
    <w:rsid w:val="00180E4B"/>
    <w:rsid w:val="00181D40"/>
    <w:rsid w:val="001846B1"/>
    <w:rsid w:val="001850F2"/>
    <w:rsid w:val="00185FBF"/>
    <w:rsid w:val="001867EF"/>
    <w:rsid w:val="00191712"/>
    <w:rsid w:val="00191CAC"/>
    <w:rsid w:val="00191D5C"/>
    <w:rsid w:val="001923AF"/>
    <w:rsid w:val="00193FAA"/>
    <w:rsid w:val="00194A01"/>
    <w:rsid w:val="001A43DF"/>
    <w:rsid w:val="001B4530"/>
    <w:rsid w:val="001B5B0F"/>
    <w:rsid w:val="001B7F0E"/>
    <w:rsid w:val="001C088A"/>
    <w:rsid w:val="001C775B"/>
    <w:rsid w:val="001D0457"/>
    <w:rsid w:val="001D0F9E"/>
    <w:rsid w:val="001D1CC5"/>
    <w:rsid w:val="001D4462"/>
    <w:rsid w:val="001D45D2"/>
    <w:rsid w:val="001D4CB5"/>
    <w:rsid w:val="001E3CC5"/>
    <w:rsid w:val="001F099F"/>
    <w:rsid w:val="001F3494"/>
    <w:rsid w:val="001F3D30"/>
    <w:rsid w:val="001F71DF"/>
    <w:rsid w:val="00206194"/>
    <w:rsid w:val="0021111C"/>
    <w:rsid w:val="00211876"/>
    <w:rsid w:val="00212AD9"/>
    <w:rsid w:val="00215747"/>
    <w:rsid w:val="00217102"/>
    <w:rsid w:val="00222F3B"/>
    <w:rsid w:val="002310AB"/>
    <w:rsid w:val="00231BB5"/>
    <w:rsid w:val="002345A6"/>
    <w:rsid w:val="002346C9"/>
    <w:rsid w:val="00235684"/>
    <w:rsid w:val="002361FE"/>
    <w:rsid w:val="00236FCD"/>
    <w:rsid w:val="002436D7"/>
    <w:rsid w:val="002445E8"/>
    <w:rsid w:val="0025081A"/>
    <w:rsid w:val="0025587F"/>
    <w:rsid w:val="0026619A"/>
    <w:rsid w:val="00266E2F"/>
    <w:rsid w:val="00266F67"/>
    <w:rsid w:val="00267280"/>
    <w:rsid w:val="00270583"/>
    <w:rsid w:val="00272893"/>
    <w:rsid w:val="00273CC4"/>
    <w:rsid w:val="00274A6C"/>
    <w:rsid w:val="002757F8"/>
    <w:rsid w:val="002771BA"/>
    <w:rsid w:val="002857A1"/>
    <w:rsid w:val="00285EE7"/>
    <w:rsid w:val="00287969"/>
    <w:rsid w:val="00290444"/>
    <w:rsid w:val="002A10B6"/>
    <w:rsid w:val="002A7E46"/>
    <w:rsid w:val="002B02BA"/>
    <w:rsid w:val="002B1A27"/>
    <w:rsid w:val="002B2366"/>
    <w:rsid w:val="002B547B"/>
    <w:rsid w:val="002C2EF6"/>
    <w:rsid w:val="002C3161"/>
    <w:rsid w:val="002C4662"/>
    <w:rsid w:val="002C478D"/>
    <w:rsid w:val="002C5B90"/>
    <w:rsid w:val="002C6786"/>
    <w:rsid w:val="002D04A6"/>
    <w:rsid w:val="002D4487"/>
    <w:rsid w:val="002D61E8"/>
    <w:rsid w:val="002E29AA"/>
    <w:rsid w:val="002E3AA3"/>
    <w:rsid w:val="002E3F2B"/>
    <w:rsid w:val="002E7B48"/>
    <w:rsid w:val="002F2B42"/>
    <w:rsid w:val="002F3FE5"/>
    <w:rsid w:val="0030619A"/>
    <w:rsid w:val="00307EBC"/>
    <w:rsid w:val="00312EE2"/>
    <w:rsid w:val="00316361"/>
    <w:rsid w:val="003239B7"/>
    <w:rsid w:val="00330C2C"/>
    <w:rsid w:val="00333BD8"/>
    <w:rsid w:val="00334EF9"/>
    <w:rsid w:val="003355D7"/>
    <w:rsid w:val="003376B6"/>
    <w:rsid w:val="003412DC"/>
    <w:rsid w:val="003457B8"/>
    <w:rsid w:val="00350B92"/>
    <w:rsid w:val="00351B8A"/>
    <w:rsid w:val="0035374C"/>
    <w:rsid w:val="00355A38"/>
    <w:rsid w:val="0036375C"/>
    <w:rsid w:val="003669F5"/>
    <w:rsid w:val="0037052F"/>
    <w:rsid w:val="00372B91"/>
    <w:rsid w:val="00375712"/>
    <w:rsid w:val="00375E6D"/>
    <w:rsid w:val="00377397"/>
    <w:rsid w:val="00377EFE"/>
    <w:rsid w:val="0038354E"/>
    <w:rsid w:val="00385C07"/>
    <w:rsid w:val="00390281"/>
    <w:rsid w:val="003928BD"/>
    <w:rsid w:val="0039360F"/>
    <w:rsid w:val="00394D74"/>
    <w:rsid w:val="00394FB8"/>
    <w:rsid w:val="003975B2"/>
    <w:rsid w:val="003A0DF2"/>
    <w:rsid w:val="003A3799"/>
    <w:rsid w:val="003A3D82"/>
    <w:rsid w:val="003A604F"/>
    <w:rsid w:val="003B271F"/>
    <w:rsid w:val="003B380A"/>
    <w:rsid w:val="003B6C98"/>
    <w:rsid w:val="003C0691"/>
    <w:rsid w:val="003C42C3"/>
    <w:rsid w:val="003C50F5"/>
    <w:rsid w:val="003D1772"/>
    <w:rsid w:val="003D18EF"/>
    <w:rsid w:val="003D1E6A"/>
    <w:rsid w:val="003D38CF"/>
    <w:rsid w:val="003D3A8A"/>
    <w:rsid w:val="003D4FB9"/>
    <w:rsid w:val="003D5BE4"/>
    <w:rsid w:val="003D67D4"/>
    <w:rsid w:val="003E3473"/>
    <w:rsid w:val="003E5EA6"/>
    <w:rsid w:val="003E7CC4"/>
    <w:rsid w:val="003E7CFE"/>
    <w:rsid w:val="003F231B"/>
    <w:rsid w:val="003F2820"/>
    <w:rsid w:val="003F4C15"/>
    <w:rsid w:val="003F58D8"/>
    <w:rsid w:val="003F68B8"/>
    <w:rsid w:val="00400D48"/>
    <w:rsid w:val="004033DE"/>
    <w:rsid w:val="0040769F"/>
    <w:rsid w:val="0041093E"/>
    <w:rsid w:val="00410DBD"/>
    <w:rsid w:val="00410FEA"/>
    <w:rsid w:val="0042118F"/>
    <w:rsid w:val="00426313"/>
    <w:rsid w:val="0043285C"/>
    <w:rsid w:val="00441894"/>
    <w:rsid w:val="00444C95"/>
    <w:rsid w:val="00447B63"/>
    <w:rsid w:val="0045657C"/>
    <w:rsid w:val="00463DAF"/>
    <w:rsid w:val="004646C5"/>
    <w:rsid w:val="004651BA"/>
    <w:rsid w:val="0046542E"/>
    <w:rsid w:val="004668A4"/>
    <w:rsid w:val="00471B26"/>
    <w:rsid w:val="00474355"/>
    <w:rsid w:val="0047523F"/>
    <w:rsid w:val="00477279"/>
    <w:rsid w:val="0048013D"/>
    <w:rsid w:val="00480B90"/>
    <w:rsid w:val="00482FC6"/>
    <w:rsid w:val="00483D58"/>
    <w:rsid w:val="00485A8D"/>
    <w:rsid w:val="004877A6"/>
    <w:rsid w:val="0049280C"/>
    <w:rsid w:val="004931C6"/>
    <w:rsid w:val="004A2D2E"/>
    <w:rsid w:val="004A3D90"/>
    <w:rsid w:val="004A6F23"/>
    <w:rsid w:val="004B0AFC"/>
    <w:rsid w:val="004B0D18"/>
    <w:rsid w:val="004B2FA3"/>
    <w:rsid w:val="004B39CB"/>
    <w:rsid w:val="004B3DA7"/>
    <w:rsid w:val="004C01FB"/>
    <w:rsid w:val="004C07DC"/>
    <w:rsid w:val="004C2D77"/>
    <w:rsid w:val="004C7A9E"/>
    <w:rsid w:val="004D0167"/>
    <w:rsid w:val="004D066C"/>
    <w:rsid w:val="004D175F"/>
    <w:rsid w:val="004D176A"/>
    <w:rsid w:val="004D2C21"/>
    <w:rsid w:val="004D5445"/>
    <w:rsid w:val="004E189C"/>
    <w:rsid w:val="004E3109"/>
    <w:rsid w:val="004E3EEB"/>
    <w:rsid w:val="004F56F4"/>
    <w:rsid w:val="004F6A85"/>
    <w:rsid w:val="0050075F"/>
    <w:rsid w:val="00503F95"/>
    <w:rsid w:val="00504AE6"/>
    <w:rsid w:val="00507060"/>
    <w:rsid w:val="00511497"/>
    <w:rsid w:val="005118DF"/>
    <w:rsid w:val="00512C86"/>
    <w:rsid w:val="00514612"/>
    <w:rsid w:val="0052324C"/>
    <w:rsid w:val="00524E64"/>
    <w:rsid w:val="00524FED"/>
    <w:rsid w:val="00525FA9"/>
    <w:rsid w:val="00531C25"/>
    <w:rsid w:val="00536BA1"/>
    <w:rsid w:val="0053734B"/>
    <w:rsid w:val="00541CD7"/>
    <w:rsid w:val="00543B6F"/>
    <w:rsid w:val="0054457B"/>
    <w:rsid w:val="00553958"/>
    <w:rsid w:val="00556463"/>
    <w:rsid w:val="005619D9"/>
    <w:rsid w:val="00565C7A"/>
    <w:rsid w:val="0057042D"/>
    <w:rsid w:val="00571DBF"/>
    <w:rsid w:val="00572E49"/>
    <w:rsid w:val="00573B9E"/>
    <w:rsid w:val="00574CD8"/>
    <w:rsid w:val="00574FBE"/>
    <w:rsid w:val="00575C40"/>
    <w:rsid w:val="00580B4F"/>
    <w:rsid w:val="00582E37"/>
    <w:rsid w:val="005921FA"/>
    <w:rsid w:val="00592FA0"/>
    <w:rsid w:val="005A00B6"/>
    <w:rsid w:val="005A1316"/>
    <w:rsid w:val="005A1A3A"/>
    <w:rsid w:val="005A43BC"/>
    <w:rsid w:val="005A6BCF"/>
    <w:rsid w:val="005A7E25"/>
    <w:rsid w:val="005B55A8"/>
    <w:rsid w:val="005B7778"/>
    <w:rsid w:val="005C5057"/>
    <w:rsid w:val="005C5332"/>
    <w:rsid w:val="005D557F"/>
    <w:rsid w:val="005D56B8"/>
    <w:rsid w:val="005D7E83"/>
    <w:rsid w:val="005E0844"/>
    <w:rsid w:val="005E37CC"/>
    <w:rsid w:val="005E4DBF"/>
    <w:rsid w:val="005F12EB"/>
    <w:rsid w:val="005F4F49"/>
    <w:rsid w:val="005F7022"/>
    <w:rsid w:val="00603EC7"/>
    <w:rsid w:val="00605434"/>
    <w:rsid w:val="006068A9"/>
    <w:rsid w:val="00607C6A"/>
    <w:rsid w:val="00610262"/>
    <w:rsid w:val="00611357"/>
    <w:rsid w:val="00613836"/>
    <w:rsid w:val="0061642A"/>
    <w:rsid w:val="00616DE9"/>
    <w:rsid w:val="00616FE7"/>
    <w:rsid w:val="006175D1"/>
    <w:rsid w:val="00620E17"/>
    <w:rsid w:val="0062262A"/>
    <w:rsid w:val="00626F5B"/>
    <w:rsid w:val="006312D7"/>
    <w:rsid w:val="00631963"/>
    <w:rsid w:val="0064175B"/>
    <w:rsid w:val="00641B16"/>
    <w:rsid w:val="00643149"/>
    <w:rsid w:val="00644100"/>
    <w:rsid w:val="00654998"/>
    <w:rsid w:val="00655D96"/>
    <w:rsid w:val="00660B60"/>
    <w:rsid w:val="0066287E"/>
    <w:rsid w:val="006650CE"/>
    <w:rsid w:val="00665BA3"/>
    <w:rsid w:val="00666774"/>
    <w:rsid w:val="006675BA"/>
    <w:rsid w:val="00673CD2"/>
    <w:rsid w:val="00680BFB"/>
    <w:rsid w:val="00680DB2"/>
    <w:rsid w:val="00684299"/>
    <w:rsid w:val="00685703"/>
    <w:rsid w:val="006858B0"/>
    <w:rsid w:val="00685A8C"/>
    <w:rsid w:val="00687E03"/>
    <w:rsid w:val="006904F2"/>
    <w:rsid w:val="00693719"/>
    <w:rsid w:val="006967D1"/>
    <w:rsid w:val="00696BE4"/>
    <w:rsid w:val="006A2730"/>
    <w:rsid w:val="006A47C7"/>
    <w:rsid w:val="006A5800"/>
    <w:rsid w:val="006A6BD2"/>
    <w:rsid w:val="006A722A"/>
    <w:rsid w:val="006B0496"/>
    <w:rsid w:val="006B537A"/>
    <w:rsid w:val="006B5E1A"/>
    <w:rsid w:val="006B608E"/>
    <w:rsid w:val="006B72B9"/>
    <w:rsid w:val="006C2613"/>
    <w:rsid w:val="006C3AFF"/>
    <w:rsid w:val="006C45D0"/>
    <w:rsid w:val="006C78A0"/>
    <w:rsid w:val="006C7F2B"/>
    <w:rsid w:val="006D0119"/>
    <w:rsid w:val="006D16AA"/>
    <w:rsid w:val="006D3A3F"/>
    <w:rsid w:val="006D4771"/>
    <w:rsid w:val="006D49C5"/>
    <w:rsid w:val="006E24E3"/>
    <w:rsid w:val="006E494B"/>
    <w:rsid w:val="006E5961"/>
    <w:rsid w:val="006F0018"/>
    <w:rsid w:val="006F65C6"/>
    <w:rsid w:val="00710998"/>
    <w:rsid w:val="007119D6"/>
    <w:rsid w:val="007157DA"/>
    <w:rsid w:val="00716C24"/>
    <w:rsid w:val="007172FC"/>
    <w:rsid w:val="00723BBB"/>
    <w:rsid w:val="007279A4"/>
    <w:rsid w:val="00731916"/>
    <w:rsid w:val="00734193"/>
    <w:rsid w:val="00734FB4"/>
    <w:rsid w:val="00736C25"/>
    <w:rsid w:val="0074018C"/>
    <w:rsid w:val="0074195A"/>
    <w:rsid w:val="00741B56"/>
    <w:rsid w:val="0074366B"/>
    <w:rsid w:val="00746BDE"/>
    <w:rsid w:val="00746FB8"/>
    <w:rsid w:val="00753069"/>
    <w:rsid w:val="007538C8"/>
    <w:rsid w:val="007550A5"/>
    <w:rsid w:val="0076027C"/>
    <w:rsid w:val="00765E38"/>
    <w:rsid w:val="00766971"/>
    <w:rsid w:val="00772F48"/>
    <w:rsid w:val="00773614"/>
    <w:rsid w:val="0077635B"/>
    <w:rsid w:val="00780124"/>
    <w:rsid w:val="00781986"/>
    <w:rsid w:val="007828E5"/>
    <w:rsid w:val="00785E83"/>
    <w:rsid w:val="007901A5"/>
    <w:rsid w:val="0079091F"/>
    <w:rsid w:val="00792652"/>
    <w:rsid w:val="00793098"/>
    <w:rsid w:val="00794B8B"/>
    <w:rsid w:val="00797905"/>
    <w:rsid w:val="007A1CE4"/>
    <w:rsid w:val="007A3372"/>
    <w:rsid w:val="007A389C"/>
    <w:rsid w:val="007A70B8"/>
    <w:rsid w:val="007A7A0E"/>
    <w:rsid w:val="007B135D"/>
    <w:rsid w:val="007B1785"/>
    <w:rsid w:val="007B59FF"/>
    <w:rsid w:val="007B5F93"/>
    <w:rsid w:val="007C014D"/>
    <w:rsid w:val="007C0745"/>
    <w:rsid w:val="007C1D8C"/>
    <w:rsid w:val="007C6C48"/>
    <w:rsid w:val="007D0060"/>
    <w:rsid w:val="007D084C"/>
    <w:rsid w:val="007D1FB9"/>
    <w:rsid w:val="007D2003"/>
    <w:rsid w:val="007D570B"/>
    <w:rsid w:val="007D5F26"/>
    <w:rsid w:val="007D7457"/>
    <w:rsid w:val="007E1A95"/>
    <w:rsid w:val="007E25AE"/>
    <w:rsid w:val="007E6763"/>
    <w:rsid w:val="007F0388"/>
    <w:rsid w:val="007F1640"/>
    <w:rsid w:val="007F30B0"/>
    <w:rsid w:val="007F343B"/>
    <w:rsid w:val="007F427B"/>
    <w:rsid w:val="007F6023"/>
    <w:rsid w:val="007F6803"/>
    <w:rsid w:val="00800D85"/>
    <w:rsid w:val="00802444"/>
    <w:rsid w:val="00802511"/>
    <w:rsid w:val="00802806"/>
    <w:rsid w:val="0080550B"/>
    <w:rsid w:val="00812215"/>
    <w:rsid w:val="008131A2"/>
    <w:rsid w:val="00813F0C"/>
    <w:rsid w:val="008205F9"/>
    <w:rsid w:val="008216AE"/>
    <w:rsid w:val="008242A9"/>
    <w:rsid w:val="00826D9A"/>
    <w:rsid w:val="0082751D"/>
    <w:rsid w:val="008337AD"/>
    <w:rsid w:val="00835F32"/>
    <w:rsid w:val="008371EE"/>
    <w:rsid w:val="008423E4"/>
    <w:rsid w:val="008428F0"/>
    <w:rsid w:val="00842D63"/>
    <w:rsid w:val="00843FEF"/>
    <w:rsid w:val="00846107"/>
    <w:rsid w:val="008467F2"/>
    <w:rsid w:val="00846D71"/>
    <w:rsid w:val="0085036D"/>
    <w:rsid w:val="008514C4"/>
    <w:rsid w:val="00852AF4"/>
    <w:rsid w:val="0085352E"/>
    <w:rsid w:val="00853CB1"/>
    <w:rsid w:val="00855D98"/>
    <w:rsid w:val="00856175"/>
    <w:rsid w:val="00856556"/>
    <w:rsid w:val="00856C7C"/>
    <w:rsid w:val="008576B4"/>
    <w:rsid w:val="00866684"/>
    <w:rsid w:val="00867C15"/>
    <w:rsid w:val="00871E8A"/>
    <w:rsid w:val="00872AD8"/>
    <w:rsid w:val="00873249"/>
    <w:rsid w:val="00873596"/>
    <w:rsid w:val="00873883"/>
    <w:rsid w:val="008744CE"/>
    <w:rsid w:val="00875E75"/>
    <w:rsid w:val="00876A0C"/>
    <w:rsid w:val="00880E2C"/>
    <w:rsid w:val="00881836"/>
    <w:rsid w:val="0088655A"/>
    <w:rsid w:val="008874BE"/>
    <w:rsid w:val="008918B0"/>
    <w:rsid w:val="0089494D"/>
    <w:rsid w:val="00896CEB"/>
    <w:rsid w:val="00897310"/>
    <w:rsid w:val="008A1053"/>
    <w:rsid w:val="008A1639"/>
    <w:rsid w:val="008A3CBD"/>
    <w:rsid w:val="008A5AA7"/>
    <w:rsid w:val="008A769D"/>
    <w:rsid w:val="008C6F76"/>
    <w:rsid w:val="008D33C2"/>
    <w:rsid w:val="008D5398"/>
    <w:rsid w:val="008E252A"/>
    <w:rsid w:val="008E268F"/>
    <w:rsid w:val="008E5F4A"/>
    <w:rsid w:val="008E6E08"/>
    <w:rsid w:val="008F11CA"/>
    <w:rsid w:val="008F424E"/>
    <w:rsid w:val="008F53C0"/>
    <w:rsid w:val="008F7618"/>
    <w:rsid w:val="00900E86"/>
    <w:rsid w:val="009015B2"/>
    <w:rsid w:val="0090225D"/>
    <w:rsid w:val="009028F9"/>
    <w:rsid w:val="00902B69"/>
    <w:rsid w:val="00904863"/>
    <w:rsid w:val="0091135F"/>
    <w:rsid w:val="00911B59"/>
    <w:rsid w:val="00913AF5"/>
    <w:rsid w:val="00914B4F"/>
    <w:rsid w:val="00915612"/>
    <w:rsid w:val="009169EB"/>
    <w:rsid w:val="00916F5E"/>
    <w:rsid w:val="0091775E"/>
    <w:rsid w:val="00923EDE"/>
    <w:rsid w:val="009263DA"/>
    <w:rsid w:val="0092719C"/>
    <w:rsid w:val="00927BB6"/>
    <w:rsid w:val="0093124E"/>
    <w:rsid w:val="00932958"/>
    <w:rsid w:val="0093301B"/>
    <w:rsid w:val="00937EA1"/>
    <w:rsid w:val="009406D3"/>
    <w:rsid w:val="00947016"/>
    <w:rsid w:val="009535BF"/>
    <w:rsid w:val="00954A67"/>
    <w:rsid w:val="00955341"/>
    <w:rsid w:val="00960C3A"/>
    <w:rsid w:val="00961700"/>
    <w:rsid w:val="00972006"/>
    <w:rsid w:val="00972DFF"/>
    <w:rsid w:val="00976272"/>
    <w:rsid w:val="00976573"/>
    <w:rsid w:val="009777E6"/>
    <w:rsid w:val="009800B2"/>
    <w:rsid w:val="00985D39"/>
    <w:rsid w:val="00986AF3"/>
    <w:rsid w:val="00991D02"/>
    <w:rsid w:val="0099719C"/>
    <w:rsid w:val="009A12E9"/>
    <w:rsid w:val="009A7982"/>
    <w:rsid w:val="009B0A0D"/>
    <w:rsid w:val="009B442F"/>
    <w:rsid w:val="009B75A0"/>
    <w:rsid w:val="009B7B11"/>
    <w:rsid w:val="009B7FC6"/>
    <w:rsid w:val="009C11FB"/>
    <w:rsid w:val="009C1E66"/>
    <w:rsid w:val="009C5E58"/>
    <w:rsid w:val="009C75E1"/>
    <w:rsid w:val="009D0560"/>
    <w:rsid w:val="009D2494"/>
    <w:rsid w:val="009D2FDB"/>
    <w:rsid w:val="009D64EF"/>
    <w:rsid w:val="009D7A12"/>
    <w:rsid w:val="009E0B74"/>
    <w:rsid w:val="009E481D"/>
    <w:rsid w:val="009E4A66"/>
    <w:rsid w:val="009F0233"/>
    <w:rsid w:val="009F0E0C"/>
    <w:rsid w:val="009F1A8C"/>
    <w:rsid w:val="009F3B6A"/>
    <w:rsid w:val="009F63B1"/>
    <w:rsid w:val="009F797B"/>
    <w:rsid w:val="00A02FE6"/>
    <w:rsid w:val="00A03039"/>
    <w:rsid w:val="00A04791"/>
    <w:rsid w:val="00A0759B"/>
    <w:rsid w:val="00A07847"/>
    <w:rsid w:val="00A0798B"/>
    <w:rsid w:val="00A10969"/>
    <w:rsid w:val="00A10E09"/>
    <w:rsid w:val="00A13BCF"/>
    <w:rsid w:val="00A15FA0"/>
    <w:rsid w:val="00A2035D"/>
    <w:rsid w:val="00A20F07"/>
    <w:rsid w:val="00A22352"/>
    <w:rsid w:val="00A25353"/>
    <w:rsid w:val="00A25992"/>
    <w:rsid w:val="00A30357"/>
    <w:rsid w:val="00A31810"/>
    <w:rsid w:val="00A32290"/>
    <w:rsid w:val="00A32440"/>
    <w:rsid w:val="00A34A54"/>
    <w:rsid w:val="00A3564D"/>
    <w:rsid w:val="00A360C1"/>
    <w:rsid w:val="00A36F8F"/>
    <w:rsid w:val="00A373EA"/>
    <w:rsid w:val="00A43F70"/>
    <w:rsid w:val="00A44ABC"/>
    <w:rsid w:val="00A4545F"/>
    <w:rsid w:val="00A47397"/>
    <w:rsid w:val="00A50814"/>
    <w:rsid w:val="00A526BE"/>
    <w:rsid w:val="00A552B6"/>
    <w:rsid w:val="00A55FE7"/>
    <w:rsid w:val="00A56B41"/>
    <w:rsid w:val="00A619A2"/>
    <w:rsid w:val="00A6663F"/>
    <w:rsid w:val="00A6677B"/>
    <w:rsid w:val="00A712B5"/>
    <w:rsid w:val="00A7192F"/>
    <w:rsid w:val="00A72C0F"/>
    <w:rsid w:val="00A73C01"/>
    <w:rsid w:val="00A743FA"/>
    <w:rsid w:val="00A7498C"/>
    <w:rsid w:val="00A77A4A"/>
    <w:rsid w:val="00A830F7"/>
    <w:rsid w:val="00A84D60"/>
    <w:rsid w:val="00A902B6"/>
    <w:rsid w:val="00A91532"/>
    <w:rsid w:val="00A96D42"/>
    <w:rsid w:val="00A97395"/>
    <w:rsid w:val="00AA0968"/>
    <w:rsid w:val="00AA0B87"/>
    <w:rsid w:val="00AA40D4"/>
    <w:rsid w:val="00AA61A8"/>
    <w:rsid w:val="00AA7D61"/>
    <w:rsid w:val="00AA7E3C"/>
    <w:rsid w:val="00AB08A6"/>
    <w:rsid w:val="00AB487C"/>
    <w:rsid w:val="00AC01C6"/>
    <w:rsid w:val="00AC15F4"/>
    <w:rsid w:val="00AC42F2"/>
    <w:rsid w:val="00AC452E"/>
    <w:rsid w:val="00AC4AE1"/>
    <w:rsid w:val="00AD0AFD"/>
    <w:rsid w:val="00AD2869"/>
    <w:rsid w:val="00AD46B8"/>
    <w:rsid w:val="00AD4AE0"/>
    <w:rsid w:val="00AD5BD4"/>
    <w:rsid w:val="00AE0A96"/>
    <w:rsid w:val="00AE13B9"/>
    <w:rsid w:val="00AE4A67"/>
    <w:rsid w:val="00AE5150"/>
    <w:rsid w:val="00AE5331"/>
    <w:rsid w:val="00AF49F7"/>
    <w:rsid w:val="00B01986"/>
    <w:rsid w:val="00B01A7B"/>
    <w:rsid w:val="00B0222D"/>
    <w:rsid w:val="00B0685D"/>
    <w:rsid w:val="00B06C9E"/>
    <w:rsid w:val="00B10931"/>
    <w:rsid w:val="00B12F2E"/>
    <w:rsid w:val="00B14D97"/>
    <w:rsid w:val="00B1633C"/>
    <w:rsid w:val="00B21444"/>
    <w:rsid w:val="00B215EA"/>
    <w:rsid w:val="00B25498"/>
    <w:rsid w:val="00B257CE"/>
    <w:rsid w:val="00B26B9C"/>
    <w:rsid w:val="00B272A2"/>
    <w:rsid w:val="00B317DF"/>
    <w:rsid w:val="00B31BCD"/>
    <w:rsid w:val="00B42ABE"/>
    <w:rsid w:val="00B43CCB"/>
    <w:rsid w:val="00B45387"/>
    <w:rsid w:val="00B50113"/>
    <w:rsid w:val="00B5567E"/>
    <w:rsid w:val="00B57A25"/>
    <w:rsid w:val="00B62550"/>
    <w:rsid w:val="00B6354E"/>
    <w:rsid w:val="00B661B6"/>
    <w:rsid w:val="00B71BC9"/>
    <w:rsid w:val="00B74CFE"/>
    <w:rsid w:val="00B74E96"/>
    <w:rsid w:val="00B77065"/>
    <w:rsid w:val="00B811B5"/>
    <w:rsid w:val="00B81AF8"/>
    <w:rsid w:val="00B82DB4"/>
    <w:rsid w:val="00B8413E"/>
    <w:rsid w:val="00B8463C"/>
    <w:rsid w:val="00B858F2"/>
    <w:rsid w:val="00B906F1"/>
    <w:rsid w:val="00B96F1F"/>
    <w:rsid w:val="00BA06C6"/>
    <w:rsid w:val="00BA125B"/>
    <w:rsid w:val="00BA1B01"/>
    <w:rsid w:val="00BA3450"/>
    <w:rsid w:val="00BB5953"/>
    <w:rsid w:val="00BB7B98"/>
    <w:rsid w:val="00BC00A2"/>
    <w:rsid w:val="00BC0329"/>
    <w:rsid w:val="00BC3CD3"/>
    <w:rsid w:val="00BC6766"/>
    <w:rsid w:val="00BC6E61"/>
    <w:rsid w:val="00BC6FCC"/>
    <w:rsid w:val="00BD139F"/>
    <w:rsid w:val="00BD1A4F"/>
    <w:rsid w:val="00BD2203"/>
    <w:rsid w:val="00BD2D13"/>
    <w:rsid w:val="00BD50AC"/>
    <w:rsid w:val="00BD6968"/>
    <w:rsid w:val="00BE045A"/>
    <w:rsid w:val="00BE0741"/>
    <w:rsid w:val="00BF1A11"/>
    <w:rsid w:val="00BF571D"/>
    <w:rsid w:val="00BF685F"/>
    <w:rsid w:val="00C0042D"/>
    <w:rsid w:val="00C00507"/>
    <w:rsid w:val="00C01057"/>
    <w:rsid w:val="00C034A0"/>
    <w:rsid w:val="00C036E3"/>
    <w:rsid w:val="00C07543"/>
    <w:rsid w:val="00C07A5E"/>
    <w:rsid w:val="00C10D51"/>
    <w:rsid w:val="00C113A8"/>
    <w:rsid w:val="00C115E9"/>
    <w:rsid w:val="00C11B2D"/>
    <w:rsid w:val="00C11C21"/>
    <w:rsid w:val="00C20FD4"/>
    <w:rsid w:val="00C22DFC"/>
    <w:rsid w:val="00C22E93"/>
    <w:rsid w:val="00C267F8"/>
    <w:rsid w:val="00C26E0C"/>
    <w:rsid w:val="00C274AE"/>
    <w:rsid w:val="00C358EE"/>
    <w:rsid w:val="00C41683"/>
    <w:rsid w:val="00C41B81"/>
    <w:rsid w:val="00C41C5B"/>
    <w:rsid w:val="00C43834"/>
    <w:rsid w:val="00C44684"/>
    <w:rsid w:val="00C51BD5"/>
    <w:rsid w:val="00C52EAD"/>
    <w:rsid w:val="00C549CC"/>
    <w:rsid w:val="00C54AF3"/>
    <w:rsid w:val="00C572A4"/>
    <w:rsid w:val="00C61E4A"/>
    <w:rsid w:val="00C62353"/>
    <w:rsid w:val="00C673E6"/>
    <w:rsid w:val="00C67B54"/>
    <w:rsid w:val="00C72612"/>
    <w:rsid w:val="00C73C35"/>
    <w:rsid w:val="00C74913"/>
    <w:rsid w:val="00C80046"/>
    <w:rsid w:val="00C8331B"/>
    <w:rsid w:val="00C83DDD"/>
    <w:rsid w:val="00C8598B"/>
    <w:rsid w:val="00C8684C"/>
    <w:rsid w:val="00C8689B"/>
    <w:rsid w:val="00C86973"/>
    <w:rsid w:val="00C90915"/>
    <w:rsid w:val="00C92ABC"/>
    <w:rsid w:val="00C93F7D"/>
    <w:rsid w:val="00C95AA7"/>
    <w:rsid w:val="00C96E21"/>
    <w:rsid w:val="00C97C16"/>
    <w:rsid w:val="00CA14D9"/>
    <w:rsid w:val="00CA1655"/>
    <w:rsid w:val="00CA39D6"/>
    <w:rsid w:val="00CA3BA3"/>
    <w:rsid w:val="00CA4561"/>
    <w:rsid w:val="00CA6799"/>
    <w:rsid w:val="00CA7D3E"/>
    <w:rsid w:val="00CB1DC3"/>
    <w:rsid w:val="00CB31DD"/>
    <w:rsid w:val="00CB3218"/>
    <w:rsid w:val="00CB4110"/>
    <w:rsid w:val="00CB4FF1"/>
    <w:rsid w:val="00CB7040"/>
    <w:rsid w:val="00CC166C"/>
    <w:rsid w:val="00CC30D9"/>
    <w:rsid w:val="00CC3C50"/>
    <w:rsid w:val="00CC6D74"/>
    <w:rsid w:val="00CD0D80"/>
    <w:rsid w:val="00CD17B9"/>
    <w:rsid w:val="00CD5AB9"/>
    <w:rsid w:val="00CD6483"/>
    <w:rsid w:val="00CE0319"/>
    <w:rsid w:val="00CE0BA4"/>
    <w:rsid w:val="00CE0F51"/>
    <w:rsid w:val="00CE38B9"/>
    <w:rsid w:val="00CE3C5C"/>
    <w:rsid w:val="00CE7D17"/>
    <w:rsid w:val="00CF05D4"/>
    <w:rsid w:val="00CF0A38"/>
    <w:rsid w:val="00CF738B"/>
    <w:rsid w:val="00D0338F"/>
    <w:rsid w:val="00D034CB"/>
    <w:rsid w:val="00D10620"/>
    <w:rsid w:val="00D115B2"/>
    <w:rsid w:val="00D13F2F"/>
    <w:rsid w:val="00D16949"/>
    <w:rsid w:val="00D2063A"/>
    <w:rsid w:val="00D259D5"/>
    <w:rsid w:val="00D361AA"/>
    <w:rsid w:val="00D379A1"/>
    <w:rsid w:val="00D44EC8"/>
    <w:rsid w:val="00D47381"/>
    <w:rsid w:val="00D47FAE"/>
    <w:rsid w:val="00D55564"/>
    <w:rsid w:val="00D624BC"/>
    <w:rsid w:val="00D65677"/>
    <w:rsid w:val="00D66C2A"/>
    <w:rsid w:val="00D67E32"/>
    <w:rsid w:val="00D72168"/>
    <w:rsid w:val="00D73E49"/>
    <w:rsid w:val="00D74D7E"/>
    <w:rsid w:val="00D75095"/>
    <w:rsid w:val="00D756F7"/>
    <w:rsid w:val="00D770B6"/>
    <w:rsid w:val="00D812F8"/>
    <w:rsid w:val="00D85541"/>
    <w:rsid w:val="00D85A55"/>
    <w:rsid w:val="00D9199C"/>
    <w:rsid w:val="00D93BA2"/>
    <w:rsid w:val="00D94819"/>
    <w:rsid w:val="00D9601C"/>
    <w:rsid w:val="00D96971"/>
    <w:rsid w:val="00DA15D4"/>
    <w:rsid w:val="00DA1BFB"/>
    <w:rsid w:val="00DA230A"/>
    <w:rsid w:val="00DA2F56"/>
    <w:rsid w:val="00DA62B7"/>
    <w:rsid w:val="00DA6BA9"/>
    <w:rsid w:val="00DA7C4B"/>
    <w:rsid w:val="00DB2C9B"/>
    <w:rsid w:val="00DB52A1"/>
    <w:rsid w:val="00DB5526"/>
    <w:rsid w:val="00DB56EA"/>
    <w:rsid w:val="00DB6B59"/>
    <w:rsid w:val="00DB70A7"/>
    <w:rsid w:val="00DC2EBD"/>
    <w:rsid w:val="00DC35A2"/>
    <w:rsid w:val="00DD0629"/>
    <w:rsid w:val="00DD1FCD"/>
    <w:rsid w:val="00DD45AD"/>
    <w:rsid w:val="00DE1410"/>
    <w:rsid w:val="00DE1AC0"/>
    <w:rsid w:val="00DE2523"/>
    <w:rsid w:val="00DF1810"/>
    <w:rsid w:val="00DF2077"/>
    <w:rsid w:val="00DF67E5"/>
    <w:rsid w:val="00E0079A"/>
    <w:rsid w:val="00E02E9D"/>
    <w:rsid w:val="00E032C2"/>
    <w:rsid w:val="00E04848"/>
    <w:rsid w:val="00E052E7"/>
    <w:rsid w:val="00E1041A"/>
    <w:rsid w:val="00E10587"/>
    <w:rsid w:val="00E11F02"/>
    <w:rsid w:val="00E23E2C"/>
    <w:rsid w:val="00E274A8"/>
    <w:rsid w:val="00E31EA0"/>
    <w:rsid w:val="00E35D32"/>
    <w:rsid w:val="00E36624"/>
    <w:rsid w:val="00E4064D"/>
    <w:rsid w:val="00E41061"/>
    <w:rsid w:val="00E41A0B"/>
    <w:rsid w:val="00E42A10"/>
    <w:rsid w:val="00E46745"/>
    <w:rsid w:val="00E5165C"/>
    <w:rsid w:val="00E51BF9"/>
    <w:rsid w:val="00E523DB"/>
    <w:rsid w:val="00E56DF1"/>
    <w:rsid w:val="00E70B0F"/>
    <w:rsid w:val="00E74886"/>
    <w:rsid w:val="00E756E6"/>
    <w:rsid w:val="00E805D5"/>
    <w:rsid w:val="00E807E0"/>
    <w:rsid w:val="00E822CB"/>
    <w:rsid w:val="00E85BB7"/>
    <w:rsid w:val="00E86231"/>
    <w:rsid w:val="00E903C0"/>
    <w:rsid w:val="00E904D2"/>
    <w:rsid w:val="00E90A96"/>
    <w:rsid w:val="00E918D7"/>
    <w:rsid w:val="00E92F71"/>
    <w:rsid w:val="00E93740"/>
    <w:rsid w:val="00E9542C"/>
    <w:rsid w:val="00E9563D"/>
    <w:rsid w:val="00E95D4E"/>
    <w:rsid w:val="00E963C6"/>
    <w:rsid w:val="00E9706D"/>
    <w:rsid w:val="00EA0808"/>
    <w:rsid w:val="00EA2681"/>
    <w:rsid w:val="00EA3903"/>
    <w:rsid w:val="00EA4858"/>
    <w:rsid w:val="00EA67F4"/>
    <w:rsid w:val="00EA6B11"/>
    <w:rsid w:val="00EB634A"/>
    <w:rsid w:val="00EC01DF"/>
    <w:rsid w:val="00EC20FB"/>
    <w:rsid w:val="00EC567C"/>
    <w:rsid w:val="00ED4443"/>
    <w:rsid w:val="00ED5290"/>
    <w:rsid w:val="00ED671B"/>
    <w:rsid w:val="00EE1441"/>
    <w:rsid w:val="00EE3B79"/>
    <w:rsid w:val="00EE6AF8"/>
    <w:rsid w:val="00EE6EF3"/>
    <w:rsid w:val="00EE7201"/>
    <w:rsid w:val="00EE7E96"/>
    <w:rsid w:val="00EF156F"/>
    <w:rsid w:val="00EF3510"/>
    <w:rsid w:val="00EF57BA"/>
    <w:rsid w:val="00EF5A8E"/>
    <w:rsid w:val="00EF60D7"/>
    <w:rsid w:val="00EF60F7"/>
    <w:rsid w:val="00F0069F"/>
    <w:rsid w:val="00F020EC"/>
    <w:rsid w:val="00F0246B"/>
    <w:rsid w:val="00F02760"/>
    <w:rsid w:val="00F03975"/>
    <w:rsid w:val="00F073DE"/>
    <w:rsid w:val="00F13B12"/>
    <w:rsid w:val="00F13EA3"/>
    <w:rsid w:val="00F15CF9"/>
    <w:rsid w:val="00F1640D"/>
    <w:rsid w:val="00F16617"/>
    <w:rsid w:val="00F16DA6"/>
    <w:rsid w:val="00F2255D"/>
    <w:rsid w:val="00F3078A"/>
    <w:rsid w:val="00F31116"/>
    <w:rsid w:val="00F3169D"/>
    <w:rsid w:val="00F32609"/>
    <w:rsid w:val="00F32A88"/>
    <w:rsid w:val="00F32C76"/>
    <w:rsid w:val="00F33268"/>
    <w:rsid w:val="00F3348A"/>
    <w:rsid w:val="00F34353"/>
    <w:rsid w:val="00F34DBE"/>
    <w:rsid w:val="00F3607F"/>
    <w:rsid w:val="00F3626D"/>
    <w:rsid w:val="00F419B3"/>
    <w:rsid w:val="00F472A0"/>
    <w:rsid w:val="00F4787A"/>
    <w:rsid w:val="00F47C1E"/>
    <w:rsid w:val="00F526F2"/>
    <w:rsid w:val="00F527A6"/>
    <w:rsid w:val="00F554AB"/>
    <w:rsid w:val="00F56A8B"/>
    <w:rsid w:val="00F62E0E"/>
    <w:rsid w:val="00F63636"/>
    <w:rsid w:val="00F65949"/>
    <w:rsid w:val="00F67697"/>
    <w:rsid w:val="00F678D2"/>
    <w:rsid w:val="00F711AB"/>
    <w:rsid w:val="00F72B5C"/>
    <w:rsid w:val="00F72CF6"/>
    <w:rsid w:val="00F81879"/>
    <w:rsid w:val="00F81EA6"/>
    <w:rsid w:val="00F82AE3"/>
    <w:rsid w:val="00F839E9"/>
    <w:rsid w:val="00F873E6"/>
    <w:rsid w:val="00F91123"/>
    <w:rsid w:val="00F95545"/>
    <w:rsid w:val="00F972E6"/>
    <w:rsid w:val="00FB0215"/>
    <w:rsid w:val="00FB5419"/>
    <w:rsid w:val="00FB6203"/>
    <w:rsid w:val="00FC2E08"/>
    <w:rsid w:val="00FC2F02"/>
    <w:rsid w:val="00FC337D"/>
    <w:rsid w:val="00FC3A66"/>
    <w:rsid w:val="00FC573C"/>
    <w:rsid w:val="00FD2A06"/>
    <w:rsid w:val="00FD4EFF"/>
    <w:rsid w:val="00FD6F68"/>
    <w:rsid w:val="00FD6F90"/>
    <w:rsid w:val="00FD77AE"/>
    <w:rsid w:val="00FE175D"/>
    <w:rsid w:val="00FE1F7D"/>
    <w:rsid w:val="00FE2AB9"/>
    <w:rsid w:val="00FE3E9B"/>
    <w:rsid w:val="00FE57C1"/>
    <w:rsid w:val="00FE591F"/>
    <w:rsid w:val="00FE632D"/>
    <w:rsid w:val="00FE65F6"/>
    <w:rsid w:val="00FE67DE"/>
    <w:rsid w:val="00FF110A"/>
    <w:rsid w:val="00FF397F"/>
    <w:rsid w:val="020A2789"/>
    <w:rsid w:val="02B3AF7B"/>
    <w:rsid w:val="05ADA77F"/>
    <w:rsid w:val="05B37CAC"/>
    <w:rsid w:val="0BE5BB46"/>
    <w:rsid w:val="105F1806"/>
    <w:rsid w:val="1163C36A"/>
    <w:rsid w:val="12248185"/>
    <w:rsid w:val="12A23E67"/>
    <w:rsid w:val="199717E5"/>
    <w:rsid w:val="1B1EE8B4"/>
    <w:rsid w:val="1BBBF962"/>
    <w:rsid w:val="1CDEE4F0"/>
    <w:rsid w:val="20E32498"/>
    <w:rsid w:val="223D1C0A"/>
    <w:rsid w:val="237FEA2D"/>
    <w:rsid w:val="244BDD2A"/>
    <w:rsid w:val="24D3AF8A"/>
    <w:rsid w:val="279C402B"/>
    <w:rsid w:val="2909A595"/>
    <w:rsid w:val="296C0BA6"/>
    <w:rsid w:val="2DA4F6BB"/>
    <w:rsid w:val="30E4C9FA"/>
    <w:rsid w:val="3562DB69"/>
    <w:rsid w:val="356A9A79"/>
    <w:rsid w:val="35F8A347"/>
    <w:rsid w:val="36054654"/>
    <w:rsid w:val="3ACAD489"/>
    <w:rsid w:val="3BDD0EAD"/>
    <w:rsid w:val="3DFF9595"/>
    <w:rsid w:val="3E8C057C"/>
    <w:rsid w:val="416426BE"/>
    <w:rsid w:val="43D65A3A"/>
    <w:rsid w:val="440E0E5E"/>
    <w:rsid w:val="499BB318"/>
    <w:rsid w:val="4A2AD132"/>
    <w:rsid w:val="4A8531C3"/>
    <w:rsid w:val="4B853695"/>
    <w:rsid w:val="50DC839E"/>
    <w:rsid w:val="57DF4BBB"/>
    <w:rsid w:val="58909A87"/>
    <w:rsid w:val="5A2080E6"/>
    <w:rsid w:val="5D74F0CA"/>
    <w:rsid w:val="5DAEBA57"/>
    <w:rsid w:val="5E5952A8"/>
    <w:rsid w:val="5F245E2B"/>
    <w:rsid w:val="5F8308C5"/>
    <w:rsid w:val="6042A8C7"/>
    <w:rsid w:val="639758DE"/>
    <w:rsid w:val="64A3964B"/>
    <w:rsid w:val="650737BD"/>
    <w:rsid w:val="658D5940"/>
    <w:rsid w:val="65CBEE47"/>
    <w:rsid w:val="66399D13"/>
    <w:rsid w:val="663E579B"/>
    <w:rsid w:val="66F2C99B"/>
    <w:rsid w:val="6725B59E"/>
    <w:rsid w:val="67FA3148"/>
    <w:rsid w:val="68718A54"/>
    <w:rsid w:val="6B665B67"/>
    <w:rsid w:val="6BE291E2"/>
    <w:rsid w:val="6CEED6DF"/>
    <w:rsid w:val="6EA48A62"/>
    <w:rsid w:val="6EBF44DD"/>
    <w:rsid w:val="70385B5C"/>
    <w:rsid w:val="71E167D4"/>
    <w:rsid w:val="72997CE6"/>
    <w:rsid w:val="75809217"/>
    <w:rsid w:val="7898BB15"/>
    <w:rsid w:val="78D2E55D"/>
    <w:rsid w:val="7CB44C24"/>
    <w:rsid w:val="7CD38D07"/>
    <w:rsid w:val="7EEE7894"/>
    <w:rsid w:val="7F3EE4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8270"/>
  <w15:chartTrackingRefBased/>
  <w15:docId w15:val="{AA904E18-86F8-4232-978D-666A4CA6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4E"/>
    <w:rPr>
      <w:rFonts w:ascii="Calibri" w:eastAsia="Calibri" w:hAnsi="Calibri" w:cs="Times New Roman"/>
    </w:rPr>
  </w:style>
  <w:style w:type="paragraph" w:styleId="Heading2">
    <w:name w:val="heading 2"/>
    <w:basedOn w:val="Normal"/>
    <w:link w:val="Heading2Char"/>
    <w:uiPriority w:val="9"/>
    <w:unhideWhenUsed/>
    <w:qFormat/>
    <w:rsid w:val="009D7A12"/>
    <w:pPr>
      <w:spacing w:after="150" w:line="240" w:lineRule="auto"/>
      <w:outlineLvl w:val="1"/>
    </w:pPr>
    <w:rPr>
      <w:rFonts w:ascii="Arial" w:eastAsiaTheme="minorHAnsi" w:hAnsi="Arial" w:cs="Arial"/>
      <w:b/>
      <w:bCs/>
      <w:color w:val="30303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88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90"/>
    <w:pPr>
      <w:ind w:left="720"/>
      <w:contextualSpacing/>
    </w:pPr>
  </w:style>
  <w:style w:type="character" w:customStyle="1" w:styleId="Heading2Char">
    <w:name w:val="Heading 2 Char"/>
    <w:basedOn w:val="DefaultParagraphFont"/>
    <w:link w:val="Heading2"/>
    <w:uiPriority w:val="9"/>
    <w:rsid w:val="009D7A12"/>
    <w:rPr>
      <w:rFonts w:ascii="Arial" w:hAnsi="Arial" w:cs="Arial"/>
      <w:b/>
      <w:bCs/>
      <w:color w:val="303030"/>
      <w:sz w:val="27"/>
      <w:szCs w:val="27"/>
      <w:lang w:eastAsia="en-GB"/>
    </w:rPr>
  </w:style>
  <w:style w:type="character" w:styleId="Hyperlink">
    <w:name w:val="Hyperlink"/>
    <w:basedOn w:val="DefaultParagraphFont"/>
    <w:uiPriority w:val="99"/>
    <w:unhideWhenUsed/>
    <w:rsid w:val="009D7A12"/>
    <w:rPr>
      <w:color w:val="F49100" w:themeColor="hyperlink"/>
      <w:u w:val="single"/>
    </w:rPr>
  </w:style>
  <w:style w:type="character" w:styleId="Strong">
    <w:name w:val="Strong"/>
    <w:basedOn w:val="DefaultParagraphFont"/>
    <w:uiPriority w:val="22"/>
    <w:qFormat/>
    <w:rsid w:val="009D7A12"/>
    <w:rPr>
      <w:b/>
      <w:bCs/>
    </w:rPr>
  </w:style>
  <w:style w:type="character" w:styleId="Emphasis">
    <w:name w:val="Emphasis"/>
    <w:basedOn w:val="DefaultParagraphFont"/>
    <w:uiPriority w:val="20"/>
    <w:qFormat/>
    <w:rsid w:val="009D7A12"/>
    <w:rPr>
      <w:i/>
      <w:iCs/>
    </w:rPr>
  </w:style>
  <w:style w:type="paragraph" w:customStyle="1" w:styleId="xmsolistparagraph">
    <w:name w:val="x_msolistparagraph"/>
    <w:basedOn w:val="Normal"/>
    <w:rsid w:val="003B6C98"/>
    <w:pPr>
      <w:spacing w:line="252" w:lineRule="auto"/>
      <w:ind w:left="720"/>
    </w:pPr>
    <w:rPr>
      <w:rFonts w:eastAsiaTheme="minorHAnsi"/>
      <w:lang w:eastAsia="en-GB"/>
    </w:rPr>
  </w:style>
  <w:style w:type="character" w:styleId="CommentReference">
    <w:name w:val="annotation reference"/>
    <w:basedOn w:val="DefaultParagraphFont"/>
    <w:uiPriority w:val="99"/>
    <w:semiHidden/>
    <w:unhideWhenUsed/>
    <w:rsid w:val="007172FC"/>
    <w:rPr>
      <w:sz w:val="16"/>
      <w:szCs w:val="16"/>
    </w:rPr>
  </w:style>
  <w:style w:type="paragraph" w:styleId="CommentText">
    <w:name w:val="annotation text"/>
    <w:basedOn w:val="Normal"/>
    <w:link w:val="CommentTextChar"/>
    <w:uiPriority w:val="99"/>
    <w:semiHidden/>
    <w:unhideWhenUsed/>
    <w:rsid w:val="007172FC"/>
    <w:pPr>
      <w:spacing w:line="240" w:lineRule="auto"/>
    </w:pPr>
    <w:rPr>
      <w:sz w:val="20"/>
      <w:szCs w:val="20"/>
    </w:rPr>
  </w:style>
  <w:style w:type="character" w:customStyle="1" w:styleId="CommentTextChar">
    <w:name w:val="Comment Text Char"/>
    <w:basedOn w:val="DefaultParagraphFont"/>
    <w:link w:val="CommentText"/>
    <w:uiPriority w:val="99"/>
    <w:semiHidden/>
    <w:rsid w:val="00717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2FC"/>
    <w:rPr>
      <w:b/>
      <w:bCs/>
    </w:rPr>
  </w:style>
  <w:style w:type="character" w:customStyle="1" w:styleId="CommentSubjectChar">
    <w:name w:val="Comment Subject Char"/>
    <w:basedOn w:val="CommentTextChar"/>
    <w:link w:val="CommentSubject"/>
    <w:uiPriority w:val="99"/>
    <w:semiHidden/>
    <w:rsid w:val="007172FC"/>
    <w:rPr>
      <w:rFonts w:ascii="Calibri" w:eastAsia="Calibri" w:hAnsi="Calibri" w:cs="Times New Roman"/>
      <w:b/>
      <w:bCs/>
      <w:sz w:val="20"/>
      <w:szCs w:val="20"/>
    </w:rPr>
  </w:style>
  <w:style w:type="paragraph" w:styleId="Revision">
    <w:name w:val="Revision"/>
    <w:hidden/>
    <w:uiPriority w:val="99"/>
    <w:semiHidden/>
    <w:rsid w:val="007172F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D2D13"/>
    <w:rPr>
      <w:color w:val="605E5C"/>
      <w:shd w:val="clear" w:color="auto" w:fill="E1DFDD"/>
    </w:rPr>
  </w:style>
  <w:style w:type="paragraph" w:styleId="NormalWeb">
    <w:name w:val="Normal (Web)"/>
    <w:basedOn w:val="Normal"/>
    <w:uiPriority w:val="99"/>
    <w:unhideWhenUsed/>
    <w:rsid w:val="005A6BC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ED444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D4443"/>
  </w:style>
  <w:style w:type="character" w:customStyle="1" w:styleId="eop">
    <w:name w:val="eop"/>
    <w:basedOn w:val="DefaultParagraphFont"/>
    <w:rsid w:val="00ED4443"/>
  </w:style>
  <w:style w:type="paragraph" w:styleId="Title">
    <w:name w:val="Title"/>
    <w:basedOn w:val="Normal"/>
    <w:next w:val="Normal"/>
    <w:link w:val="TitleChar"/>
    <w:uiPriority w:val="10"/>
    <w:qFormat/>
    <w:rsid w:val="00145501"/>
    <w:pPr>
      <w:spacing w:after="0" w:line="240" w:lineRule="auto"/>
      <w:contextualSpacing/>
      <w:jc w:val="right"/>
    </w:pPr>
    <w:rPr>
      <w:rFonts w:asciiTheme="minorHAnsi" w:eastAsiaTheme="majorEastAsia" w:hAnsiTheme="minorHAnsi"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145501"/>
    <w:rPr>
      <w:rFonts w:eastAsiaTheme="majorEastAsia"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145501"/>
    <w:pPr>
      <w:numPr>
        <w:ilvl w:val="1"/>
      </w:numPr>
    </w:pPr>
    <w:rPr>
      <w:rFonts w:asciiTheme="minorHAnsi" w:eastAsiaTheme="minorEastAsia" w:hAnsiTheme="minorHAnsi" w:cstheme="minorBidi"/>
      <w:b/>
      <w:color w:val="D9D9D9" w:themeColor="background1" w:themeShade="D9"/>
      <w:spacing w:val="15"/>
      <w:sz w:val="32"/>
    </w:rPr>
  </w:style>
  <w:style w:type="character" w:customStyle="1" w:styleId="SubtitleChar">
    <w:name w:val="Subtitle Char"/>
    <w:basedOn w:val="DefaultParagraphFont"/>
    <w:link w:val="Subtitle"/>
    <w:uiPriority w:val="11"/>
    <w:rsid w:val="00145501"/>
    <w:rPr>
      <w:rFonts w:eastAsiaTheme="minorEastAsia"/>
      <w:b/>
      <w:color w:val="D9D9D9" w:themeColor="background1" w:themeShade="D9"/>
      <w:spacing w:val="1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1208">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52240027">
      <w:bodyDiv w:val="1"/>
      <w:marLeft w:val="0"/>
      <w:marRight w:val="0"/>
      <w:marTop w:val="0"/>
      <w:marBottom w:val="0"/>
      <w:divBdr>
        <w:top w:val="none" w:sz="0" w:space="0" w:color="auto"/>
        <w:left w:val="none" w:sz="0" w:space="0" w:color="auto"/>
        <w:bottom w:val="none" w:sz="0" w:space="0" w:color="auto"/>
        <w:right w:val="none" w:sz="0" w:space="0" w:color="auto"/>
      </w:divBdr>
    </w:div>
    <w:div w:id="85660228">
      <w:bodyDiv w:val="1"/>
      <w:marLeft w:val="0"/>
      <w:marRight w:val="0"/>
      <w:marTop w:val="0"/>
      <w:marBottom w:val="0"/>
      <w:divBdr>
        <w:top w:val="none" w:sz="0" w:space="0" w:color="auto"/>
        <w:left w:val="none" w:sz="0" w:space="0" w:color="auto"/>
        <w:bottom w:val="none" w:sz="0" w:space="0" w:color="auto"/>
        <w:right w:val="none" w:sz="0" w:space="0" w:color="auto"/>
      </w:divBdr>
    </w:div>
    <w:div w:id="129640243">
      <w:bodyDiv w:val="1"/>
      <w:marLeft w:val="0"/>
      <w:marRight w:val="0"/>
      <w:marTop w:val="0"/>
      <w:marBottom w:val="0"/>
      <w:divBdr>
        <w:top w:val="none" w:sz="0" w:space="0" w:color="auto"/>
        <w:left w:val="none" w:sz="0" w:space="0" w:color="auto"/>
        <w:bottom w:val="none" w:sz="0" w:space="0" w:color="auto"/>
        <w:right w:val="none" w:sz="0" w:space="0" w:color="auto"/>
      </w:divBdr>
    </w:div>
    <w:div w:id="152916760">
      <w:bodyDiv w:val="1"/>
      <w:marLeft w:val="0"/>
      <w:marRight w:val="0"/>
      <w:marTop w:val="0"/>
      <w:marBottom w:val="0"/>
      <w:divBdr>
        <w:top w:val="none" w:sz="0" w:space="0" w:color="auto"/>
        <w:left w:val="none" w:sz="0" w:space="0" w:color="auto"/>
        <w:bottom w:val="none" w:sz="0" w:space="0" w:color="auto"/>
        <w:right w:val="none" w:sz="0" w:space="0" w:color="auto"/>
      </w:divBdr>
    </w:div>
    <w:div w:id="278805039">
      <w:bodyDiv w:val="1"/>
      <w:marLeft w:val="0"/>
      <w:marRight w:val="0"/>
      <w:marTop w:val="0"/>
      <w:marBottom w:val="0"/>
      <w:divBdr>
        <w:top w:val="none" w:sz="0" w:space="0" w:color="auto"/>
        <w:left w:val="none" w:sz="0" w:space="0" w:color="auto"/>
        <w:bottom w:val="none" w:sz="0" w:space="0" w:color="auto"/>
        <w:right w:val="none" w:sz="0" w:space="0" w:color="auto"/>
      </w:divBdr>
    </w:div>
    <w:div w:id="298851752">
      <w:bodyDiv w:val="1"/>
      <w:marLeft w:val="0"/>
      <w:marRight w:val="0"/>
      <w:marTop w:val="0"/>
      <w:marBottom w:val="0"/>
      <w:divBdr>
        <w:top w:val="none" w:sz="0" w:space="0" w:color="auto"/>
        <w:left w:val="none" w:sz="0" w:space="0" w:color="auto"/>
        <w:bottom w:val="none" w:sz="0" w:space="0" w:color="auto"/>
        <w:right w:val="none" w:sz="0" w:space="0" w:color="auto"/>
      </w:divBdr>
    </w:div>
    <w:div w:id="344750320">
      <w:bodyDiv w:val="1"/>
      <w:marLeft w:val="0"/>
      <w:marRight w:val="0"/>
      <w:marTop w:val="0"/>
      <w:marBottom w:val="0"/>
      <w:divBdr>
        <w:top w:val="none" w:sz="0" w:space="0" w:color="auto"/>
        <w:left w:val="none" w:sz="0" w:space="0" w:color="auto"/>
        <w:bottom w:val="none" w:sz="0" w:space="0" w:color="auto"/>
        <w:right w:val="none" w:sz="0" w:space="0" w:color="auto"/>
      </w:divBdr>
    </w:div>
    <w:div w:id="353918866">
      <w:bodyDiv w:val="1"/>
      <w:marLeft w:val="0"/>
      <w:marRight w:val="0"/>
      <w:marTop w:val="0"/>
      <w:marBottom w:val="0"/>
      <w:divBdr>
        <w:top w:val="none" w:sz="0" w:space="0" w:color="auto"/>
        <w:left w:val="none" w:sz="0" w:space="0" w:color="auto"/>
        <w:bottom w:val="none" w:sz="0" w:space="0" w:color="auto"/>
        <w:right w:val="none" w:sz="0" w:space="0" w:color="auto"/>
      </w:divBdr>
    </w:div>
    <w:div w:id="431128561">
      <w:bodyDiv w:val="1"/>
      <w:marLeft w:val="0"/>
      <w:marRight w:val="0"/>
      <w:marTop w:val="0"/>
      <w:marBottom w:val="0"/>
      <w:divBdr>
        <w:top w:val="none" w:sz="0" w:space="0" w:color="auto"/>
        <w:left w:val="none" w:sz="0" w:space="0" w:color="auto"/>
        <w:bottom w:val="none" w:sz="0" w:space="0" w:color="auto"/>
        <w:right w:val="none" w:sz="0" w:space="0" w:color="auto"/>
      </w:divBdr>
    </w:div>
    <w:div w:id="562374954">
      <w:bodyDiv w:val="1"/>
      <w:marLeft w:val="0"/>
      <w:marRight w:val="0"/>
      <w:marTop w:val="0"/>
      <w:marBottom w:val="0"/>
      <w:divBdr>
        <w:top w:val="none" w:sz="0" w:space="0" w:color="auto"/>
        <w:left w:val="none" w:sz="0" w:space="0" w:color="auto"/>
        <w:bottom w:val="none" w:sz="0" w:space="0" w:color="auto"/>
        <w:right w:val="none" w:sz="0" w:space="0" w:color="auto"/>
      </w:divBdr>
    </w:div>
    <w:div w:id="589317442">
      <w:bodyDiv w:val="1"/>
      <w:marLeft w:val="0"/>
      <w:marRight w:val="0"/>
      <w:marTop w:val="0"/>
      <w:marBottom w:val="0"/>
      <w:divBdr>
        <w:top w:val="none" w:sz="0" w:space="0" w:color="auto"/>
        <w:left w:val="none" w:sz="0" w:space="0" w:color="auto"/>
        <w:bottom w:val="none" w:sz="0" w:space="0" w:color="auto"/>
        <w:right w:val="none" w:sz="0" w:space="0" w:color="auto"/>
      </w:divBdr>
    </w:div>
    <w:div w:id="601183051">
      <w:bodyDiv w:val="1"/>
      <w:marLeft w:val="0"/>
      <w:marRight w:val="0"/>
      <w:marTop w:val="0"/>
      <w:marBottom w:val="0"/>
      <w:divBdr>
        <w:top w:val="none" w:sz="0" w:space="0" w:color="auto"/>
        <w:left w:val="none" w:sz="0" w:space="0" w:color="auto"/>
        <w:bottom w:val="none" w:sz="0" w:space="0" w:color="auto"/>
        <w:right w:val="none" w:sz="0" w:space="0" w:color="auto"/>
      </w:divBdr>
    </w:div>
    <w:div w:id="645553521">
      <w:bodyDiv w:val="1"/>
      <w:marLeft w:val="0"/>
      <w:marRight w:val="0"/>
      <w:marTop w:val="0"/>
      <w:marBottom w:val="0"/>
      <w:divBdr>
        <w:top w:val="none" w:sz="0" w:space="0" w:color="auto"/>
        <w:left w:val="none" w:sz="0" w:space="0" w:color="auto"/>
        <w:bottom w:val="none" w:sz="0" w:space="0" w:color="auto"/>
        <w:right w:val="none" w:sz="0" w:space="0" w:color="auto"/>
      </w:divBdr>
    </w:div>
    <w:div w:id="709038216">
      <w:bodyDiv w:val="1"/>
      <w:marLeft w:val="0"/>
      <w:marRight w:val="0"/>
      <w:marTop w:val="0"/>
      <w:marBottom w:val="0"/>
      <w:divBdr>
        <w:top w:val="none" w:sz="0" w:space="0" w:color="auto"/>
        <w:left w:val="none" w:sz="0" w:space="0" w:color="auto"/>
        <w:bottom w:val="none" w:sz="0" w:space="0" w:color="auto"/>
        <w:right w:val="none" w:sz="0" w:space="0" w:color="auto"/>
      </w:divBdr>
    </w:div>
    <w:div w:id="710299796">
      <w:bodyDiv w:val="1"/>
      <w:marLeft w:val="0"/>
      <w:marRight w:val="0"/>
      <w:marTop w:val="0"/>
      <w:marBottom w:val="0"/>
      <w:divBdr>
        <w:top w:val="none" w:sz="0" w:space="0" w:color="auto"/>
        <w:left w:val="none" w:sz="0" w:space="0" w:color="auto"/>
        <w:bottom w:val="none" w:sz="0" w:space="0" w:color="auto"/>
        <w:right w:val="none" w:sz="0" w:space="0" w:color="auto"/>
      </w:divBdr>
    </w:div>
    <w:div w:id="710883108">
      <w:bodyDiv w:val="1"/>
      <w:marLeft w:val="0"/>
      <w:marRight w:val="0"/>
      <w:marTop w:val="0"/>
      <w:marBottom w:val="0"/>
      <w:divBdr>
        <w:top w:val="none" w:sz="0" w:space="0" w:color="auto"/>
        <w:left w:val="none" w:sz="0" w:space="0" w:color="auto"/>
        <w:bottom w:val="none" w:sz="0" w:space="0" w:color="auto"/>
        <w:right w:val="none" w:sz="0" w:space="0" w:color="auto"/>
      </w:divBdr>
    </w:div>
    <w:div w:id="723918335">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72475622">
      <w:bodyDiv w:val="1"/>
      <w:marLeft w:val="0"/>
      <w:marRight w:val="0"/>
      <w:marTop w:val="0"/>
      <w:marBottom w:val="0"/>
      <w:divBdr>
        <w:top w:val="none" w:sz="0" w:space="0" w:color="auto"/>
        <w:left w:val="none" w:sz="0" w:space="0" w:color="auto"/>
        <w:bottom w:val="none" w:sz="0" w:space="0" w:color="auto"/>
        <w:right w:val="none" w:sz="0" w:space="0" w:color="auto"/>
      </w:divBdr>
    </w:div>
    <w:div w:id="775903512">
      <w:bodyDiv w:val="1"/>
      <w:marLeft w:val="0"/>
      <w:marRight w:val="0"/>
      <w:marTop w:val="0"/>
      <w:marBottom w:val="0"/>
      <w:divBdr>
        <w:top w:val="none" w:sz="0" w:space="0" w:color="auto"/>
        <w:left w:val="none" w:sz="0" w:space="0" w:color="auto"/>
        <w:bottom w:val="none" w:sz="0" w:space="0" w:color="auto"/>
        <w:right w:val="none" w:sz="0" w:space="0" w:color="auto"/>
      </w:divBdr>
    </w:div>
    <w:div w:id="779644067">
      <w:bodyDiv w:val="1"/>
      <w:marLeft w:val="0"/>
      <w:marRight w:val="0"/>
      <w:marTop w:val="0"/>
      <w:marBottom w:val="0"/>
      <w:divBdr>
        <w:top w:val="none" w:sz="0" w:space="0" w:color="auto"/>
        <w:left w:val="none" w:sz="0" w:space="0" w:color="auto"/>
        <w:bottom w:val="none" w:sz="0" w:space="0" w:color="auto"/>
        <w:right w:val="none" w:sz="0" w:space="0" w:color="auto"/>
      </w:divBdr>
    </w:div>
    <w:div w:id="793596108">
      <w:bodyDiv w:val="1"/>
      <w:marLeft w:val="0"/>
      <w:marRight w:val="0"/>
      <w:marTop w:val="0"/>
      <w:marBottom w:val="0"/>
      <w:divBdr>
        <w:top w:val="none" w:sz="0" w:space="0" w:color="auto"/>
        <w:left w:val="none" w:sz="0" w:space="0" w:color="auto"/>
        <w:bottom w:val="none" w:sz="0" w:space="0" w:color="auto"/>
        <w:right w:val="none" w:sz="0" w:space="0" w:color="auto"/>
      </w:divBdr>
    </w:div>
    <w:div w:id="878207417">
      <w:bodyDiv w:val="1"/>
      <w:marLeft w:val="0"/>
      <w:marRight w:val="0"/>
      <w:marTop w:val="0"/>
      <w:marBottom w:val="0"/>
      <w:divBdr>
        <w:top w:val="none" w:sz="0" w:space="0" w:color="auto"/>
        <w:left w:val="none" w:sz="0" w:space="0" w:color="auto"/>
        <w:bottom w:val="none" w:sz="0" w:space="0" w:color="auto"/>
        <w:right w:val="none" w:sz="0" w:space="0" w:color="auto"/>
      </w:divBdr>
    </w:div>
    <w:div w:id="886603101">
      <w:bodyDiv w:val="1"/>
      <w:marLeft w:val="0"/>
      <w:marRight w:val="0"/>
      <w:marTop w:val="0"/>
      <w:marBottom w:val="0"/>
      <w:divBdr>
        <w:top w:val="none" w:sz="0" w:space="0" w:color="auto"/>
        <w:left w:val="none" w:sz="0" w:space="0" w:color="auto"/>
        <w:bottom w:val="none" w:sz="0" w:space="0" w:color="auto"/>
        <w:right w:val="none" w:sz="0" w:space="0" w:color="auto"/>
      </w:divBdr>
    </w:div>
    <w:div w:id="1044140328">
      <w:bodyDiv w:val="1"/>
      <w:marLeft w:val="0"/>
      <w:marRight w:val="0"/>
      <w:marTop w:val="0"/>
      <w:marBottom w:val="0"/>
      <w:divBdr>
        <w:top w:val="none" w:sz="0" w:space="0" w:color="auto"/>
        <w:left w:val="none" w:sz="0" w:space="0" w:color="auto"/>
        <w:bottom w:val="none" w:sz="0" w:space="0" w:color="auto"/>
        <w:right w:val="none" w:sz="0" w:space="0" w:color="auto"/>
      </w:divBdr>
    </w:div>
    <w:div w:id="1141732711">
      <w:bodyDiv w:val="1"/>
      <w:marLeft w:val="0"/>
      <w:marRight w:val="0"/>
      <w:marTop w:val="0"/>
      <w:marBottom w:val="0"/>
      <w:divBdr>
        <w:top w:val="none" w:sz="0" w:space="0" w:color="auto"/>
        <w:left w:val="none" w:sz="0" w:space="0" w:color="auto"/>
        <w:bottom w:val="none" w:sz="0" w:space="0" w:color="auto"/>
        <w:right w:val="none" w:sz="0" w:space="0" w:color="auto"/>
      </w:divBdr>
    </w:div>
    <w:div w:id="1146969168">
      <w:bodyDiv w:val="1"/>
      <w:marLeft w:val="0"/>
      <w:marRight w:val="0"/>
      <w:marTop w:val="0"/>
      <w:marBottom w:val="0"/>
      <w:divBdr>
        <w:top w:val="none" w:sz="0" w:space="0" w:color="auto"/>
        <w:left w:val="none" w:sz="0" w:space="0" w:color="auto"/>
        <w:bottom w:val="none" w:sz="0" w:space="0" w:color="auto"/>
        <w:right w:val="none" w:sz="0" w:space="0" w:color="auto"/>
      </w:divBdr>
    </w:div>
    <w:div w:id="1224564474">
      <w:bodyDiv w:val="1"/>
      <w:marLeft w:val="0"/>
      <w:marRight w:val="0"/>
      <w:marTop w:val="0"/>
      <w:marBottom w:val="0"/>
      <w:divBdr>
        <w:top w:val="none" w:sz="0" w:space="0" w:color="auto"/>
        <w:left w:val="none" w:sz="0" w:space="0" w:color="auto"/>
        <w:bottom w:val="none" w:sz="0" w:space="0" w:color="auto"/>
        <w:right w:val="none" w:sz="0" w:space="0" w:color="auto"/>
      </w:divBdr>
    </w:div>
    <w:div w:id="1264341406">
      <w:bodyDiv w:val="1"/>
      <w:marLeft w:val="0"/>
      <w:marRight w:val="0"/>
      <w:marTop w:val="0"/>
      <w:marBottom w:val="0"/>
      <w:divBdr>
        <w:top w:val="none" w:sz="0" w:space="0" w:color="auto"/>
        <w:left w:val="none" w:sz="0" w:space="0" w:color="auto"/>
        <w:bottom w:val="none" w:sz="0" w:space="0" w:color="auto"/>
        <w:right w:val="none" w:sz="0" w:space="0" w:color="auto"/>
      </w:divBdr>
    </w:div>
    <w:div w:id="1269315949">
      <w:bodyDiv w:val="1"/>
      <w:marLeft w:val="0"/>
      <w:marRight w:val="0"/>
      <w:marTop w:val="0"/>
      <w:marBottom w:val="0"/>
      <w:divBdr>
        <w:top w:val="none" w:sz="0" w:space="0" w:color="auto"/>
        <w:left w:val="none" w:sz="0" w:space="0" w:color="auto"/>
        <w:bottom w:val="none" w:sz="0" w:space="0" w:color="auto"/>
        <w:right w:val="none" w:sz="0" w:space="0" w:color="auto"/>
      </w:divBdr>
    </w:div>
    <w:div w:id="1303192897">
      <w:bodyDiv w:val="1"/>
      <w:marLeft w:val="0"/>
      <w:marRight w:val="0"/>
      <w:marTop w:val="0"/>
      <w:marBottom w:val="0"/>
      <w:divBdr>
        <w:top w:val="none" w:sz="0" w:space="0" w:color="auto"/>
        <w:left w:val="none" w:sz="0" w:space="0" w:color="auto"/>
        <w:bottom w:val="none" w:sz="0" w:space="0" w:color="auto"/>
        <w:right w:val="none" w:sz="0" w:space="0" w:color="auto"/>
      </w:divBdr>
    </w:div>
    <w:div w:id="1357659725">
      <w:bodyDiv w:val="1"/>
      <w:marLeft w:val="0"/>
      <w:marRight w:val="0"/>
      <w:marTop w:val="0"/>
      <w:marBottom w:val="0"/>
      <w:divBdr>
        <w:top w:val="none" w:sz="0" w:space="0" w:color="auto"/>
        <w:left w:val="none" w:sz="0" w:space="0" w:color="auto"/>
        <w:bottom w:val="none" w:sz="0" w:space="0" w:color="auto"/>
        <w:right w:val="none" w:sz="0" w:space="0" w:color="auto"/>
      </w:divBdr>
    </w:div>
    <w:div w:id="1385828923">
      <w:bodyDiv w:val="1"/>
      <w:marLeft w:val="0"/>
      <w:marRight w:val="0"/>
      <w:marTop w:val="0"/>
      <w:marBottom w:val="0"/>
      <w:divBdr>
        <w:top w:val="none" w:sz="0" w:space="0" w:color="auto"/>
        <w:left w:val="none" w:sz="0" w:space="0" w:color="auto"/>
        <w:bottom w:val="none" w:sz="0" w:space="0" w:color="auto"/>
        <w:right w:val="none" w:sz="0" w:space="0" w:color="auto"/>
      </w:divBdr>
    </w:div>
    <w:div w:id="1399086029">
      <w:bodyDiv w:val="1"/>
      <w:marLeft w:val="0"/>
      <w:marRight w:val="0"/>
      <w:marTop w:val="0"/>
      <w:marBottom w:val="0"/>
      <w:divBdr>
        <w:top w:val="none" w:sz="0" w:space="0" w:color="auto"/>
        <w:left w:val="none" w:sz="0" w:space="0" w:color="auto"/>
        <w:bottom w:val="none" w:sz="0" w:space="0" w:color="auto"/>
        <w:right w:val="none" w:sz="0" w:space="0" w:color="auto"/>
      </w:divBdr>
    </w:div>
    <w:div w:id="1431387241">
      <w:bodyDiv w:val="1"/>
      <w:marLeft w:val="0"/>
      <w:marRight w:val="0"/>
      <w:marTop w:val="0"/>
      <w:marBottom w:val="0"/>
      <w:divBdr>
        <w:top w:val="none" w:sz="0" w:space="0" w:color="auto"/>
        <w:left w:val="none" w:sz="0" w:space="0" w:color="auto"/>
        <w:bottom w:val="none" w:sz="0" w:space="0" w:color="auto"/>
        <w:right w:val="none" w:sz="0" w:space="0" w:color="auto"/>
      </w:divBdr>
    </w:div>
    <w:div w:id="1472137077">
      <w:bodyDiv w:val="1"/>
      <w:marLeft w:val="0"/>
      <w:marRight w:val="0"/>
      <w:marTop w:val="0"/>
      <w:marBottom w:val="0"/>
      <w:divBdr>
        <w:top w:val="none" w:sz="0" w:space="0" w:color="auto"/>
        <w:left w:val="none" w:sz="0" w:space="0" w:color="auto"/>
        <w:bottom w:val="none" w:sz="0" w:space="0" w:color="auto"/>
        <w:right w:val="none" w:sz="0" w:space="0" w:color="auto"/>
      </w:divBdr>
    </w:div>
    <w:div w:id="1527602057">
      <w:bodyDiv w:val="1"/>
      <w:marLeft w:val="0"/>
      <w:marRight w:val="0"/>
      <w:marTop w:val="0"/>
      <w:marBottom w:val="0"/>
      <w:divBdr>
        <w:top w:val="none" w:sz="0" w:space="0" w:color="auto"/>
        <w:left w:val="none" w:sz="0" w:space="0" w:color="auto"/>
        <w:bottom w:val="none" w:sz="0" w:space="0" w:color="auto"/>
        <w:right w:val="none" w:sz="0" w:space="0" w:color="auto"/>
      </w:divBdr>
    </w:div>
    <w:div w:id="1580480169">
      <w:bodyDiv w:val="1"/>
      <w:marLeft w:val="0"/>
      <w:marRight w:val="0"/>
      <w:marTop w:val="0"/>
      <w:marBottom w:val="0"/>
      <w:divBdr>
        <w:top w:val="none" w:sz="0" w:space="0" w:color="auto"/>
        <w:left w:val="none" w:sz="0" w:space="0" w:color="auto"/>
        <w:bottom w:val="none" w:sz="0" w:space="0" w:color="auto"/>
        <w:right w:val="none" w:sz="0" w:space="0" w:color="auto"/>
      </w:divBdr>
      <w:divsChild>
        <w:div w:id="406149168">
          <w:marLeft w:val="0"/>
          <w:marRight w:val="0"/>
          <w:marTop w:val="0"/>
          <w:marBottom w:val="0"/>
          <w:divBdr>
            <w:top w:val="none" w:sz="0" w:space="0" w:color="auto"/>
            <w:left w:val="none" w:sz="0" w:space="0" w:color="auto"/>
            <w:bottom w:val="none" w:sz="0" w:space="0" w:color="auto"/>
            <w:right w:val="none" w:sz="0" w:space="0" w:color="auto"/>
          </w:divBdr>
        </w:div>
        <w:div w:id="1274629972">
          <w:marLeft w:val="0"/>
          <w:marRight w:val="0"/>
          <w:marTop w:val="0"/>
          <w:marBottom w:val="0"/>
          <w:divBdr>
            <w:top w:val="none" w:sz="0" w:space="0" w:color="auto"/>
            <w:left w:val="none" w:sz="0" w:space="0" w:color="auto"/>
            <w:bottom w:val="none" w:sz="0" w:space="0" w:color="auto"/>
            <w:right w:val="none" w:sz="0" w:space="0" w:color="auto"/>
          </w:divBdr>
        </w:div>
        <w:div w:id="2056731044">
          <w:marLeft w:val="0"/>
          <w:marRight w:val="0"/>
          <w:marTop w:val="0"/>
          <w:marBottom w:val="0"/>
          <w:divBdr>
            <w:top w:val="none" w:sz="0" w:space="0" w:color="auto"/>
            <w:left w:val="none" w:sz="0" w:space="0" w:color="auto"/>
            <w:bottom w:val="none" w:sz="0" w:space="0" w:color="auto"/>
            <w:right w:val="none" w:sz="0" w:space="0" w:color="auto"/>
          </w:divBdr>
        </w:div>
        <w:div w:id="2112318976">
          <w:marLeft w:val="0"/>
          <w:marRight w:val="0"/>
          <w:marTop w:val="0"/>
          <w:marBottom w:val="0"/>
          <w:divBdr>
            <w:top w:val="none" w:sz="0" w:space="0" w:color="auto"/>
            <w:left w:val="none" w:sz="0" w:space="0" w:color="auto"/>
            <w:bottom w:val="none" w:sz="0" w:space="0" w:color="auto"/>
            <w:right w:val="none" w:sz="0" w:space="0" w:color="auto"/>
          </w:divBdr>
        </w:div>
      </w:divsChild>
    </w:div>
    <w:div w:id="1613441240">
      <w:bodyDiv w:val="1"/>
      <w:marLeft w:val="0"/>
      <w:marRight w:val="0"/>
      <w:marTop w:val="0"/>
      <w:marBottom w:val="0"/>
      <w:divBdr>
        <w:top w:val="none" w:sz="0" w:space="0" w:color="auto"/>
        <w:left w:val="none" w:sz="0" w:space="0" w:color="auto"/>
        <w:bottom w:val="none" w:sz="0" w:space="0" w:color="auto"/>
        <w:right w:val="none" w:sz="0" w:space="0" w:color="auto"/>
      </w:divBdr>
    </w:div>
    <w:div w:id="1624850779">
      <w:bodyDiv w:val="1"/>
      <w:marLeft w:val="0"/>
      <w:marRight w:val="0"/>
      <w:marTop w:val="0"/>
      <w:marBottom w:val="0"/>
      <w:divBdr>
        <w:top w:val="none" w:sz="0" w:space="0" w:color="auto"/>
        <w:left w:val="none" w:sz="0" w:space="0" w:color="auto"/>
        <w:bottom w:val="none" w:sz="0" w:space="0" w:color="auto"/>
        <w:right w:val="none" w:sz="0" w:space="0" w:color="auto"/>
      </w:divBdr>
    </w:div>
    <w:div w:id="1642686390">
      <w:bodyDiv w:val="1"/>
      <w:marLeft w:val="0"/>
      <w:marRight w:val="0"/>
      <w:marTop w:val="0"/>
      <w:marBottom w:val="0"/>
      <w:divBdr>
        <w:top w:val="none" w:sz="0" w:space="0" w:color="auto"/>
        <w:left w:val="none" w:sz="0" w:space="0" w:color="auto"/>
        <w:bottom w:val="none" w:sz="0" w:space="0" w:color="auto"/>
        <w:right w:val="none" w:sz="0" w:space="0" w:color="auto"/>
      </w:divBdr>
    </w:div>
    <w:div w:id="1674801053">
      <w:bodyDiv w:val="1"/>
      <w:marLeft w:val="0"/>
      <w:marRight w:val="0"/>
      <w:marTop w:val="0"/>
      <w:marBottom w:val="0"/>
      <w:divBdr>
        <w:top w:val="none" w:sz="0" w:space="0" w:color="auto"/>
        <w:left w:val="none" w:sz="0" w:space="0" w:color="auto"/>
        <w:bottom w:val="none" w:sz="0" w:space="0" w:color="auto"/>
        <w:right w:val="none" w:sz="0" w:space="0" w:color="auto"/>
      </w:divBdr>
    </w:div>
    <w:div w:id="1831556014">
      <w:bodyDiv w:val="1"/>
      <w:marLeft w:val="0"/>
      <w:marRight w:val="0"/>
      <w:marTop w:val="0"/>
      <w:marBottom w:val="0"/>
      <w:divBdr>
        <w:top w:val="none" w:sz="0" w:space="0" w:color="auto"/>
        <w:left w:val="none" w:sz="0" w:space="0" w:color="auto"/>
        <w:bottom w:val="none" w:sz="0" w:space="0" w:color="auto"/>
        <w:right w:val="none" w:sz="0" w:space="0" w:color="auto"/>
      </w:divBdr>
    </w:div>
    <w:div w:id="1923492584">
      <w:bodyDiv w:val="1"/>
      <w:marLeft w:val="0"/>
      <w:marRight w:val="0"/>
      <w:marTop w:val="0"/>
      <w:marBottom w:val="0"/>
      <w:divBdr>
        <w:top w:val="none" w:sz="0" w:space="0" w:color="auto"/>
        <w:left w:val="none" w:sz="0" w:space="0" w:color="auto"/>
        <w:bottom w:val="none" w:sz="0" w:space="0" w:color="auto"/>
        <w:right w:val="none" w:sz="0" w:space="0" w:color="auto"/>
      </w:divBdr>
    </w:div>
    <w:div w:id="1951037872">
      <w:bodyDiv w:val="1"/>
      <w:marLeft w:val="0"/>
      <w:marRight w:val="0"/>
      <w:marTop w:val="0"/>
      <w:marBottom w:val="0"/>
      <w:divBdr>
        <w:top w:val="none" w:sz="0" w:space="0" w:color="auto"/>
        <w:left w:val="none" w:sz="0" w:space="0" w:color="auto"/>
        <w:bottom w:val="none" w:sz="0" w:space="0" w:color="auto"/>
        <w:right w:val="none" w:sz="0" w:space="0" w:color="auto"/>
      </w:divBdr>
    </w:div>
    <w:div w:id="1975673758">
      <w:bodyDiv w:val="1"/>
      <w:marLeft w:val="0"/>
      <w:marRight w:val="0"/>
      <w:marTop w:val="0"/>
      <w:marBottom w:val="0"/>
      <w:divBdr>
        <w:top w:val="none" w:sz="0" w:space="0" w:color="auto"/>
        <w:left w:val="none" w:sz="0" w:space="0" w:color="auto"/>
        <w:bottom w:val="none" w:sz="0" w:space="0" w:color="auto"/>
        <w:right w:val="none" w:sz="0" w:space="0" w:color="auto"/>
      </w:divBdr>
    </w:div>
    <w:div w:id="1997998006">
      <w:bodyDiv w:val="1"/>
      <w:marLeft w:val="0"/>
      <w:marRight w:val="0"/>
      <w:marTop w:val="0"/>
      <w:marBottom w:val="0"/>
      <w:divBdr>
        <w:top w:val="none" w:sz="0" w:space="0" w:color="auto"/>
        <w:left w:val="none" w:sz="0" w:space="0" w:color="auto"/>
        <w:bottom w:val="none" w:sz="0" w:space="0" w:color="auto"/>
        <w:right w:val="none" w:sz="0" w:space="0" w:color="auto"/>
      </w:divBdr>
    </w:div>
    <w:div w:id="20494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ni.gov.uk/sites/default/files/2024-10/daodof0324.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ni.gov.uk/sites/default/files/2024-10/daodof0424_0.pd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9F99-F294-49CF-A30B-B40BAC3B6C29}"/>
</file>

<file path=customXml/itemProps2.xml><?xml version="1.0" encoding="utf-8"?>
<ds:datastoreItem xmlns:ds="http://schemas.openxmlformats.org/officeDocument/2006/customXml" ds:itemID="{97C62EC9-94FC-481D-8040-0869C5ADC449}">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customXml/itemProps3.xml><?xml version="1.0" encoding="utf-8"?>
<ds:datastoreItem xmlns:ds="http://schemas.openxmlformats.org/officeDocument/2006/customXml" ds:itemID="{853D66EB-336F-4EEC-936E-8A7DB86353E5}">
  <ds:schemaRefs>
    <ds:schemaRef ds:uri="http://schemas.microsoft.com/sharepoint/v3/contenttype/forms"/>
  </ds:schemaRefs>
</ds:datastoreItem>
</file>

<file path=customXml/itemProps4.xml><?xml version="1.0" encoding="utf-8"?>
<ds:datastoreItem xmlns:ds="http://schemas.openxmlformats.org/officeDocument/2006/customXml" ds:itemID="{665777F6-F1E4-40C0-B4C4-FF938DBA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Belfast Metropolitan College Audit and Risk Assurance Committee</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Moran (RMoran)</dc:creator>
  <cp:keywords/>
  <dc:description/>
  <cp:lastModifiedBy>Jim Woods (JWoods)</cp:lastModifiedBy>
  <cp:revision>4</cp:revision>
  <cp:lastPrinted>2025-02-26T13:41:00Z</cp:lastPrinted>
  <dcterms:created xsi:type="dcterms:W3CDTF">2025-04-09T12:14:00Z</dcterms:created>
  <dcterms:modified xsi:type="dcterms:W3CDTF">2025-04-09T12:15:00Z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0x0101009072DEA6764A5E469BCA557C9C5B9428</vt:lpwstr>
  </property>
  <property fmtid="{D5CDD505-2E9C-101B-9397-08002B2CF9AE}" pid="3" name="MediaServiceImageTags">
    <vt:lpwstr/>
  </property>
  <property fmtid="{D5CDD505-2E9C-101B-9397-08002B2CF9AE}" pid="4" name="Order">
    <vt:r8>9200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