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598D" w14:textId="4EEF7E8D" w:rsidR="0037052F" w:rsidRDefault="00654998" w:rsidP="0088655A">
      <w:pPr>
        <w:tabs>
          <w:tab w:val="left" w:pos="7965"/>
        </w:tabs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4CD2446A" wp14:editId="54D6C4BB">
            <wp:simplePos x="0" y="0"/>
            <wp:positionH relativeFrom="page">
              <wp:align>left</wp:align>
            </wp:positionH>
            <wp:positionV relativeFrom="paragraph">
              <wp:posOffset>-857885</wp:posOffset>
            </wp:positionV>
            <wp:extent cx="7476490" cy="1065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6490" cy="1065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44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E3E8211" wp14:editId="266D5624">
            <wp:simplePos x="0" y="0"/>
            <wp:positionH relativeFrom="column">
              <wp:posOffset>-289560</wp:posOffset>
            </wp:positionH>
            <wp:positionV relativeFrom="margin">
              <wp:posOffset>8747760</wp:posOffset>
            </wp:positionV>
            <wp:extent cx="2176780" cy="516255"/>
            <wp:effectExtent l="0" t="0" r="0" b="0"/>
            <wp:wrapTight wrapText="bothSides">
              <wp:wrapPolygon edited="0">
                <wp:start x="0" y="0"/>
                <wp:lineTo x="0" y="20723"/>
                <wp:lineTo x="567" y="20723"/>
                <wp:lineTo x="21361" y="19926"/>
                <wp:lineTo x="21361" y="13550"/>
                <wp:lineTo x="19470" y="12753"/>
                <wp:lineTo x="19659" y="5579"/>
                <wp:lineTo x="14366" y="1594"/>
                <wp:lineTo x="56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3F085" w14:textId="77777777" w:rsidR="0037052F" w:rsidRDefault="0037052F" w:rsidP="0088655A">
      <w:pPr>
        <w:tabs>
          <w:tab w:val="left" w:pos="7965"/>
        </w:tabs>
      </w:pPr>
    </w:p>
    <w:tbl>
      <w:tblPr>
        <w:tblStyle w:val="TableGrid"/>
        <w:tblpPr w:leftFromText="180" w:rightFromText="180" w:vertAnchor="text" w:horzAnchor="margin" w:tblpY="287"/>
        <w:tblW w:w="9493" w:type="dxa"/>
        <w:tblLook w:val="04A0" w:firstRow="1" w:lastRow="0" w:firstColumn="1" w:lastColumn="0" w:noHBand="0" w:noVBand="1"/>
      </w:tblPr>
      <w:tblGrid>
        <w:gridCol w:w="824"/>
        <w:gridCol w:w="8669"/>
      </w:tblGrid>
      <w:tr w:rsidR="00514612" w14:paraId="673BAEC8" w14:textId="77777777" w:rsidTr="6EBF44DD">
        <w:trPr>
          <w:trHeight w:val="675"/>
        </w:trPr>
        <w:tc>
          <w:tcPr>
            <w:tcW w:w="9493" w:type="dxa"/>
            <w:gridSpan w:val="2"/>
            <w:shd w:val="clear" w:color="auto" w:fill="4389D7" w:themeFill="text2" w:themeFillTint="99"/>
          </w:tcPr>
          <w:p w14:paraId="01B7CE96" w14:textId="3686DE91" w:rsidR="00514612" w:rsidRDefault="00514612" w:rsidP="00514612">
            <w:pPr>
              <w:rPr>
                <w:b/>
              </w:rPr>
            </w:pPr>
            <w:r w:rsidRPr="00124151">
              <w:rPr>
                <w:b/>
              </w:rPr>
              <w:t>Belfast Metropolitan College Audit and Risk</w:t>
            </w:r>
            <w:r w:rsidR="00AB29A7">
              <w:rPr>
                <w:b/>
              </w:rPr>
              <w:t xml:space="preserve"> Assurance </w:t>
            </w:r>
            <w:r w:rsidRPr="00124151">
              <w:rPr>
                <w:b/>
              </w:rPr>
              <w:t xml:space="preserve">Committee </w:t>
            </w:r>
          </w:p>
          <w:p w14:paraId="037D09AB" w14:textId="77777777" w:rsidR="00514612" w:rsidRDefault="00514612" w:rsidP="00514612">
            <w:pPr>
              <w:rPr>
                <w:b/>
              </w:rPr>
            </w:pPr>
          </w:p>
          <w:p w14:paraId="69DA4946" w14:textId="17AEBA88" w:rsidR="00514612" w:rsidRPr="00BB6592" w:rsidRDefault="007D2202" w:rsidP="005146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Minutes of the </w:t>
            </w:r>
            <w:r w:rsidR="00B5081C">
              <w:rPr>
                <w:b/>
                <w:bCs/>
              </w:rPr>
              <w:t xml:space="preserve">specially convened </w:t>
            </w:r>
            <w:r>
              <w:rPr>
                <w:b/>
                <w:bCs/>
              </w:rPr>
              <w:t>meeting held at 1</w:t>
            </w:r>
            <w:r w:rsidR="00514612" w:rsidRPr="6EBF44DD">
              <w:rPr>
                <w:b/>
                <w:bCs/>
              </w:rPr>
              <w:t xml:space="preserve">.00pm </w:t>
            </w:r>
            <w:r>
              <w:rPr>
                <w:b/>
                <w:bCs/>
              </w:rPr>
              <w:t>10 December</w:t>
            </w:r>
            <w:r w:rsidR="00514612" w:rsidRPr="6EBF44DD">
              <w:rPr>
                <w:b/>
                <w:bCs/>
              </w:rPr>
              <w:t xml:space="preserve"> 2024 via Microsoft Teams </w:t>
            </w:r>
            <w:r w:rsidR="00BB6592">
              <w:rPr>
                <w:b/>
                <w:bCs/>
              </w:rPr>
              <w:t xml:space="preserve">to approve the annual accounts. </w:t>
            </w:r>
          </w:p>
          <w:p w14:paraId="296A1F33" w14:textId="77777777" w:rsidR="007D2202" w:rsidRPr="00124151" w:rsidRDefault="007D2202" w:rsidP="007D2202">
            <w:pPr>
              <w:rPr>
                <w:b/>
              </w:rPr>
            </w:pPr>
          </w:p>
        </w:tc>
      </w:tr>
      <w:tr w:rsidR="00514612" w14:paraId="2AC24F42" w14:textId="77777777" w:rsidTr="6EBF44DD">
        <w:tc>
          <w:tcPr>
            <w:tcW w:w="9493" w:type="dxa"/>
            <w:gridSpan w:val="2"/>
          </w:tcPr>
          <w:p w14:paraId="77AD24E4" w14:textId="79B5834D" w:rsidR="00514612" w:rsidRDefault="00514612" w:rsidP="00514612">
            <w:r w:rsidRPr="00124151">
              <w:rPr>
                <w:b/>
              </w:rPr>
              <w:t xml:space="preserve">Committee Members:  </w:t>
            </w:r>
            <w:r w:rsidRPr="00124151">
              <w:t>Seamus McGoran (Chair)</w:t>
            </w:r>
            <w:r w:rsidR="00492789">
              <w:t xml:space="preserve"> and</w:t>
            </w:r>
            <w:r w:rsidRPr="00124151">
              <w:t xml:space="preserve"> Bill Montgomery</w:t>
            </w:r>
            <w:r w:rsidR="00F13AAB">
              <w:t>.</w:t>
            </w:r>
          </w:p>
          <w:p w14:paraId="486D30CB" w14:textId="77777777" w:rsidR="00514612" w:rsidRPr="00124151" w:rsidRDefault="00514612" w:rsidP="00514612">
            <w:pPr>
              <w:rPr>
                <w:b/>
              </w:rPr>
            </w:pPr>
          </w:p>
          <w:p w14:paraId="1FF5C03A" w14:textId="1BCA8573" w:rsidR="00514612" w:rsidRPr="001C088A" w:rsidRDefault="00514612" w:rsidP="00514612">
            <w:r w:rsidRPr="00124151">
              <w:rPr>
                <w:b/>
              </w:rPr>
              <w:t>Management</w:t>
            </w:r>
            <w:r w:rsidRPr="00124151">
              <w:t xml:space="preserve">: </w:t>
            </w:r>
            <w:r w:rsidRPr="00124151">
              <w:rPr>
                <w:b/>
              </w:rPr>
              <w:t xml:space="preserve"> </w:t>
            </w:r>
            <w:r w:rsidR="00DC35A2">
              <w:rPr>
                <w:bCs/>
              </w:rPr>
              <w:t>Damian Duffy, Interim Principal &amp; Chief Executive</w:t>
            </w:r>
            <w:r w:rsidR="00F65949">
              <w:rPr>
                <w:bCs/>
              </w:rPr>
              <w:t xml:space="preserve"> (PCE)</w:t>
            </w:r>
            <w:r w:rsidR="00DC35A2">
              <w:rPr>
                <w:bCs/>
              </w:rPr>
              <w:t xml:space="preserve">; </w:t>
            </w:r>
            <w:r w:rsidRPr="00124151">
              <w:rPr>
                <w:bCs/>
              </w:rPr>
              <w:t>Aidan Sloan</w:t>
            </w:r>
            <w:r w:rsidR="008D33C2">
              <w:rPr>
                <w:bCs/>
              </w:rPr>
              <w:t>e</w:t>
            </w:r>
            <w:r w:rsidRPr="00124151">
              <w:rPr>
                <w:bCs/>
              </w:rPr>
              <w:t>, Chief Operating Officer (COO</w:t>
            </w:r>
            <w:r w:rsidRPr="00124151">
              <w:t xml:space="preserve">); </w:t>
            </w:r>
            <w:r w:rsidR="00572E49">
              <w:t>Laura Allen,</w:t>
            </w:r>
            <w:r w:rsidRPr="00124151">
              <w:t xml:space="preserve"> Head of Finance (</w:t>
            </w:r>
            <w:proofErr w:type="spellStart"/>
            <w:r w:rsidRPr="00124151">
              <w:t>HoF</w:t>
            </w:r>
            <w:proofErr w:type="spellEnd"/>
            <w:r w:rsidRPr="00124151">
              <w:t>)</w:t>
            </w:r>
            <w:r w:rsidR="00572E49">
              <w:t>;</w:t>
            </w:r>
            <w:r w:rsidRPr="00124151">
              <w:t xml:space="preserve"> </w:t>
            </w:r>
          </w:p>
          <w:p w14:paraId="31DC3ACD" w14:textId="77777777" w:rsidR="00514612" w:rsidRDefault="00514612" w:rsidP="00514612">
            <w:pPr>
              <w:rPr>
                <w:b/>
              </w:rPr>
            </w:pPr>
          </w:p>
          <w:p w14:paraId="68C89A1F" w14:textId="2BD6DAAF" w:rsidR="00514612" w:rsidRPr="00124151" w:rsidRDefault="00514612" w:rsidP="00514612">
            <w:r w:rsidRPr="00124151">
              <w:rPr>
                <w:b/>
              </w:rPr>
              <w:t>Auditors</w:t>
            </w:r>
            <w:r w:rsidR="00217102">
              <w:rPr>
                <w:b/>
              </w:rPr>
              <w:t xml:space="preserve">: </w:t>
            </w:r>
            <w:r w:rsidR="00217102">
              <w:rPr>
                <w:bCs/>
              </w:rPr>
              <w:t xml:space="preserve">Karen </w:t>
            </w:r>
            <w:proofErr w:type="spellStart"/>
            <w:r w:rsidR="00D9601C">
              <w:rPr>
                <w:bCs/>
              </w:rPr>
              <w:t>Doey</w:t>
            </w:r>
            <w:proofErr w:type="spellEnd"/>
            <w:r w:rsidR="00217102">
              <w:rPr>
                <w:bCs/>
              </w:rPr>
              <w:t xml:space="preserve">, </w:t>
            </w:r>
            <w:r w:rsidR="009D293E">
              <w:rPr>
                <w:bCs/>
              </w:rPr>
              <w:t>NIAO</w:t>
            </w:r>
            <w:r w:rsidRPr="00124151">
              <w:t>;</w:t>
            </w:r>
            <w:r w:rsidR="009D293E">
              <w:t xml:space="preserve"> Seamus Wade</w:t>
            </w:r>
            <w:r w:rsidR="00531D97">
              <w:t>,</w:t>
            </w:r>
            <w:r w:rsidR="009D293E">
              <w:t xml:space="preserve"> NIAO</w:t>
            </w:r>
            <w:r w:rsidR="00531D97">
              <w:t>, and Joanna Lipton, NIAO.</w:t>
            </w:r>
          </w:p>
          <w:p w14:paraId="72CD7452" w14:textId="77777777" w:rsidR="00514612" w:rsidRDefault="00514612" w:rsidP="00514612">
            <w:pPr>
              <w:rPr>
                <w:b/>
              </w:rPr>
            </w:pPr>
          </w:p>
          <w:p w14:paraId="4EF45E8E" w14:textId="69DF901F" w:rsidR="00514612" w:rsidRPr="00124151" w:rsidRDefault="00514612" w:rsidP="00514612">
            <w:r w:rsidRPr="00124151">
              <w:rPr>
                <w:b/>
              </w:rPr>
              <w:t xml:space="preserve">Observer: </w:t>
            </w:r>
            <w:r w:rsidR="007F0388">
              <w:rPr>
                <w:bCs/>
              </w:rPr>
              <w:t>Heather Sampson</w:t>
            </w:r>
            <w:r w:rsidRPr="00124151">
              <w:rPr>
                <w:bCs/>
              </w:rPr>
              <w:t xml:space="preserve">, </w:t>
            </w:r>
            <w:r w:rsidRPr="00124151">
              <w:t>Department for the Economy</w:t>
            </w:r>
          </w:p>
          <w:p w14:paraId="0FDC55AA" w14:textId="77777777" w:rsidR="00514612" w:rsidRDefault="00514612" w:rsidP="00514612">
            <w:pPr>
              <w:rPr>
                <w:b/>
              </w:rPr>
            </w:pPr>
          </w:p>
          <w:p w14:paraId="12CF19B3" w14:textId="284765F8" w:rsidR="00514612" w:rsidRPr="00124151" w:rsidRDefault="008C6F76" w:rsidP="00514612">
            <w:r>
              <w:rPr>
                <w:b/>
              </w:rPr>
              <w:t>Secretary</w:t>
            </w:r>
            <w:r w:rsidR="00514612" w:rsidRPr="00124151">
              <w:rPr>
                <w:b/>
              </w:rPr>
              <w:t xml:space="preserve"> to the Governing Body</w:t>
            </w:r>
            <w:r w:rsidR="00514612" w:rsidRPr="008C6F76">
              <w:rPr>
                <w:bCs/>
              </w:rPr>
              <w:t xml:space="preserve">:   </w:t>
            </w:r>
            <w:r w:rsidRPr="008C6F76">
              <w:rPr>
                <w:bCs/>
              </w:rPr>
              <w:t>Jim Woods</w:t>
            </w:r>
          </w:p>
          <w:p w14:paraId="2E19B1AF" w14:textId="77777777" w:rsidR="00514612" w:rsidRPr="00124151" w:rsidRDefault="00514612" w:rsidP="00514612">
            <w:pPr>
              <w:rPr>
                <w:b/>
              </w:rPr>
            </w:pPr>
          </w:p>
        </w:tc>
      </w:tr>
      <w:tr w:rsidR="002A671A" w14:paraId="31B16334" w14:textId="77777777" w:rsidTr="002A671A">
        <w:trPr>
          <w:trHeight w:val="735"/>
        </w:trPr>
        <w:tc>
          <w:tcPr>
            <w:tcW w:w="824" w:type="dxa"/>
            <w:vMerge w:val="restart"/>
          </w:tcPr>
          <w:p w14:paraId="368602E2" w14:textId="77777777" w:rsidR="00DB2105" w:rsidRDefault="00DB2105" w:rsidP="6EBF44DD">
            <w:pPr>
              <w:rPr>
                <w:b/>
                <w:bCs/>
                <w:color w:val="004E6C" w:themeColor="accent2" w:themeShade="80"/>
              </w:rPr>
            </w:pPr>
          </w:p>
          <w:p w14:paraId="23AC62C4" w14:textId="77777777" w:rsidR="00DB2105" w:rsidRDefault="00DB2105" w:rsidP="6EBF44DD">
            <w:pPr>
              <w:rPr>
                <w:b/>
                <w:bCs/>
                <w:color w:val="004E6C" w:themeColor="accent2" w:themeShade="80"/>
              </w:rPr>
            </w:pPr>
          </w:p>
          <w:p w14:paraId="7B6751CB" w14:textId="4E295B9D" w:rsidR="002A671A" w:rsidRDefault="002A671A" w:rsidP="6EBF44DD">
            <w:pPr>
              <w:rPr>
                <w:b/>
                <w:bCs/>
                <w:color w:val="004E6C" w:themeColor="accent2" w:themeShade="80"/>
              </w:rPr>
            </w:pPr>
            <w:r w:rsidRPr="6EBF44DD">
              <w:rPr>
                <w:b/>
                <w:bCs/>
                <w:color w:val="004E6C" w:themeColor="accent2" w:themeShade="80"/>
              </w:rPr>
              <w:t>AC</w:t>
            </w:r>
            <w:r w:rsidR="00951933">
              <w:rPr>
                <w:b/>
                <w:bCs/>
                <w:color w:val="004E6C" w:themeColor="accent2" w:themeShade="80"/>
              </w:rPr>
              <w:t>32</w:t>
            </w:r>
            <w:r w:rsidRPr="6EBF44DD">
              <w:rPr>
                <w:b/>
                <w:bCs/>
                <w:color w:val="004E6C" w:themeColor="accent2" w:themeShade="80"/>
              </w:rPr>
              <w:t xml:space="preserve"> 24/25</w:t>
            </w:r>
          </w:p>
          <w:p w14:paraId="45B9C923" w14:textId="77777777" w:rsidR="002A671A" w:rsidRDefault="002A671A" w:rsidP="00514612"/>
          <w:p w14:paraId="03662F3E" w14:textId="77777777" w:rsidR="002A671A" w:rsidRPr="002B02BA" w:rsidRDefault="002A671A" w:rsidP="00514612">
            <w:pPr>
              <w:rPr>
                <w:b/>
                <w:color w:val="004E6C" w:themeColor="accent2" w:themeShade="80"/>
              </w:rPr>
            </w:pPr>
          </w:p>
        </w:tc>
        <w:tc>
          <w:tcPr>
            <w:tcW w:w="8669" w:type="dxa"/>
            <w:vMerge w:val="restart"/>
          </w:tcPr>
          <w:p w14:paraId="374299E6" w14:textId="77777777" w:rsidR="00DB2105" w:rsidRDefault="00DB2105" w:rsidP="00197044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Bidi"/>
                <w:b/>
                <w:color w:val="161B1C"/>
                <w:sz w:val="22"/>
                <w:szCs w:val="22"/>
              </w:rPr>
            </w:pPr>
          </w:p>
          <w:p w14:paraId="22C1F9AF" w14:textId="7CA0935F" w:rsidR="002A671A" w:rsidRDefault="002A671A" w:rsidP="00197044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Bidi"/>
                <w:color w:val="161B1C"/>
                <w:sz w:val="22"/>
                <w:szCs w:val="22"/>
              </w:rPr>
            </w:pPr>
            <w:r w:rsidRPr="105F1806">
              <w:rPr>
                <w:rFonts w:asciiTheme="minorHAnsi" w:hAnsiTheme="minorHAnsi" w:cstheme="minorBidi"/>
                <w:b/>
                <w:color w:val="161B1C"/>
                <w:sz w:val="22"/>
                <w:szCs w:val="22"/>
              </w:rPr>
              <w:t>Quorum</w:t>
            </w:r>
            <w:r w:rsidRPr="105F1806"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>: The meeting must be quorate under the terms of Section 2 of Belfast Metropolitan College Audit and Risk Assurance Committee: Terms of Reference </w:t>
            </w:r>
            <w:r w:rsidRPr="105F1806">
              <w:rPr>
                <w:rFonts w:asciiTheme="minorHAnsi" w:hAnsiTheme="minorHAnsi" w:cstheme="minorBidi"/>
                <w:sz w:val="22"/>
                <w:szCs w:val="22"/>
              </w:rPr>
              <w:t>V4 </w:t>
            </w:r>
            <w:r w:rsidRPr="105F1806"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>22 June 2022 approved at </w:t>
            </w:r>
            <w:r w:rsidRPr="105F1806">
              <w:rPr>
                <w:rFonts w:asciiTheme="minorHAnsi" w:hAnsiTheme="minorHAnsi" w:cstheme="minorBidi"/>
                <w:b/>
                <w:color w:val="161B1C"/>
                <w:sz w:val="22"/>
                <w:szCs w:val="22"/>
              </w:rPr>
              <w:t>GB81 21/22 22 June 2022 </w:t>
            </w:r>
            <w:r w:rsidRPr="105F1806"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>(3 governors).</w:t>
            </w:r>
          </w:p>
          <w:p w14:paraId="482E220A" w14:textId="1A06D19F" w:rsidR="00173E2B" w:rsidRDefault="00173E2B" w:rsidP="00197044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Bidi"/>
                <w:color w:val="161B1C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>A</w:t>
            </w:r>
            <w:r w:rsidR="00E21E3C"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>s there were only two members of the committee present a</w:t>
            </w:r>
            <w:r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>n exceptional meeting was held to discuss the annual accounts</w:t>
            </w:r>
            <w:r w:rsidR="00EF4C2E"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 xml:space="preserve"> and provide a recommendation to the full meeting of the Board 11 December 2024.</w:t>
            </w:r>
            <w:r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 xml:space="preserve"> </w:t>
            </w:r>
          </w:p>
          <w:p w14:paraId="29DC2897" w14:textId="21D52E88" w:rsidR="002A671A" w:rsidRPr="00197044" w:rsidRDefault="002A671A" w:rsidP="00197044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161B1C"/>
                <w:sz w:val="22"/>
                <w:szCs w:val="22"/>
              </w:rPr>
            </w:pPr>
            <w:r w:rsidRPr="6B665B67">
              <w:rPr>
                <w:rFonts w:asciiTheme="minorHAnsi" w:hAnsiTheme="minorHAnsi" w:cstheme="minorBidi"/>
                <w:b/>
                <w:bCs/>
                <w:color w:val="161B1C"/>
                <w:sz w:val="22"/>
                <w:szCs w:val="22"/>
              </w:rPr>
              <w:t>Apologies</w:t>
            </w:r>
            <w:r w:rsidRPr="6B665B67"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>: </w:t>
            </w:r>
            <w:r w:rsidR="002D7D4F"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>Ian McCartney RSM UK</w:t>
            </w:r>
            <w:r w:rsidR="00531D97"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 xml:space="preserve">, and Lisa McCartney. </w:t>
            </w:r>
          </w:p>
          <w:p w14:paraId="001ECA11" w14:textId="774B3258" w:rsidR="002A671A" w:rsidRPr="00197044" w:rsidRDefault="003C6420" w:rsidP="6B665B67">
            <w:pPr>
              <w:pStyle w:val="NormalWeb"/>
              <w:shd w:val="clear" w:color="auto" w:fill="FFFFFF" w:themeFill="background1"/>
              <w:spacing w:before="0" w:beforeAutospacing="0"/>
              <w:ind w:right="-108"/>
              <w:rPr>
                <w:rFonts w:asciiTheme="minorHAnsi" w:hAnsiTheme="minorHAnsi" w:cstheme="minorBidi"/>
                <w:color w:val="161B1C"/>
                <w:sz w:val="22"/>
                <w:szCs w:val="22"/>
              </w:rPr>
            </w:pPr>
            <w:r w:rsidRPr="6EBF44DD">
              <w:rPr>
                <w:rFonts w:asciiTheme="minorHAnsi" w:hAnsiTheme="minorHAnsi" w:cstheme="minorBidi"/>
                <w:b/>
                <w:bCs/>
                <w:color w:val="161B1C"/>
                <w:sz w:val="22"/>
                <w:szCs w:val="22"/>
              </w:rPr>
              <w:t>Welcome</w:t>
            </w:r>
            <w:r w:rsidR="002A671A" w:rsidRPr="6EBF44DD"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 xml:space="preserve"> </w:t>
            </w:r>
          </w:p>
          <w:p w14:paraId="253A4444" w14:textId="0AB5CC39" w:rsidR="002A671A" w:rsidRDefault="002A671A" w:rsidP="6EBF44DD">
            <w:pPr>
              <w:pStyle w:val="NormalWeb"/>
              <w:shd w:val="clear" w:color="auto" w:fill="FFFFFF" w:themeFill="background1"/>
              <w:spacing w:before="0" w:beforeAutospacing="0"/>
              <w:rPr>
                <w:rFonts w:asciiTheme="minorHAnsi" w:hAnsiTheme="minorHAnsi" w:cstheme="minorBidi"/>
                <w:color w:val="161B1C"/>
                <w:sz w:val="22"/>
                <w:szCs w:val="22"/>
              </w:rPr>
            </w:pPr>
            <w:r w:rsidRPr="6EBF44DD">
              <w:rPr>
                <w:rFonts w:asciiTheme="minorHAnsi" w:hAnsiTheme="minorHAnsi" w:cstheme="minorBidi"/>
                <w:b/>
                <w:bCs/>
                <w:color w:val="161B1C"/>
                <w:sz w:val="22"/>
                <w:szCs w:val="22"/>
              </w:rPr>
              <w:t>Conflicts of Interest</w:t>
            </w:r>
            <w:r w:rsidRPr="6EBF44DD"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>: All participants must declare any perceived, potential or actual conflicts of interest under the terms of Section 8.1 of the Belfast Metropolitan College Governing Body Standing Orders </w:t>
            </w:r>
            <w:r w:rsidRPr="00F128F8">
              <w:rPr>
                <w:rFonts w:asciiTheme="minorHAnsi" w:hAnsiTheme="minorHAnsi" w:cstheme="minorBidi"/>
                <w:sz w:val="22"/>
                <w:szCs w:val="22"/>
              </w:rPr>
              <w:t>V5</w:t>
            </w:r>
            <w:r w:rsidRPr="6EBF44DD"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> dated June 2022 (</w:t>
            </w:r>
            <w:r w:rsidRPr="6EBF44DD">
              <w:rPr>
                <w:rFonts w:asciiTheme="minorHAnsi" w:hAnsiTheme="minorHAnsi" w:cstheme="minorBidi"/>
                <w:b/>
                <w:bCs/>
                <w:color w:val="161B1C"/>
                <w:sz w:val="22"/>
                <w:szCs w:val="22"/>
              </w:rPr>
              <w:t>GB81a 21/22 22 June 2022</w:t>
            </w:r>
            <w:r w:rsidRPr="6EBF44DD"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 xml:space="preserve">). </w:t>
            </w:r>
          </w:p>
          <w:p w14:paraId="48B748EF" w14:textId="6B5E23AF" w:rsidR="002A671A" w:rsidRDefault="002A671A" w:rsidP="6EBF44DD">
            <w:pPr>
              <w:pStyle w:val="NormalWeb"/>
              <w:shd w:val="clear" w:color="auto" w:fill="FFFFFF" w:themeFill="background1"/>
              <w:spacing w:before="0" w:beforeAutospacing="0"/>
              <w:rPr>
                <w:rFonts w:asciiTheme="minorHAnsi" w:hAnsiTheme="minorHAnsi" w:cstheme="minorBidi"/>
                <w:color w:val="161B1C"/>
                <w:sz w:val="22"/>
                <w:szCs w:val="22"/>
              </w:rPr>
            </w:pPr>
            <w:r w:rsidRPr="6EBF44DD">
              <w:rPr>
                <w:rFonts w:asciiTheme="minorHAnsi" w:hAnsiTheme="minorHAnsi" w:cstheme="minorBidi"/>
                <w:b/>
                <w:bCs/>
                <w:color w:val="161B1C"/>
                <w:sz w:val="22"/>
                <w:szCs w:val="22"/>
              </w:rPr>
              <w:t>Leadership Culture</w:t>
            </w:r>
            <w:r w:rsidRPr="6EBF44DD"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 xml:space="preserve">: Chair to note our commitment to Governing Body Leadership Culture Watchwords (GB02d 22/23 21 September 2022 refers):  </w:t>
            </w:r>
          </w:p>
          <w:p w14:paraId="31276C00" w14:textId="5941AB58" w:rsidR="002A671A" w:rsidRPr="00E70B0F" w:rsidRDefault="002A671A" w:rsidP="00514612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Bidi"/>
                <w:color w:val="161B1C"/>
                <w:sz w:val="22"/>
                <w:szCs w:val="22"/>
              </w:rPr>
            </w:pPr>
            <w:r w:rsidRPr="105F1806"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 xml:space="preserve">Courageous / Creative / Candour / </w:t>
            </w:r>
            <w:proofErr w:type="gramStart"/>
            <w:r w:rsidRPr="105F1806"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>Challenge </w:t>
            </w:r>
            <w:r w:rsidRPr="105F1806">
              <w:rPr>
                <w:rFonts w:asciiTheme="minorHAnsi" w:hAnsiTheme="minorHAnsi" w:cstheme="minorBidi"/>
                <w:color w:val="104A5A"/>
                <w:sz w:val="22"/>
                <w:szCs w:val="22"/>
              </w:rPr>
              <w:t> </w:t>
            </w:r>
            <w:r w:rsidRPr="105F1806">
              <w:rPr>
                <w:rFonts w:asciiTheme="minorHAnsi" w:hAnsiTheme="minorHAnsi" w:cstheme="minorBidi"/>
                <w:b/>
                <w:bCs/>
                <w:color w:val="104A5A"/>
                <w:sz w:val="22"/>
                <w:szCs w:val="22"/>
              </w:rPr>
              <w:t>AC</w:t>
            </w:r>
            <w:proofErr w:type="gramEnd"/>
            <w:r w:rsidRPr="105F1806">
              <w:rPr>
                <w:rFonts w:asciiTheme="minorHAnsi" w:hAnsiTheme="minorHAnsi" w:cstheme="minorBidi"/>
                <w:b/>
                <w:bCs/>
                <w:color w:val="104A5A"/>
                <w:sz w:val="22"/>
                <w:szCs w:val="22"/>
              </w:rPr>
              <w:t>28</w:t>
            </w:r>
            <w:r w:rsidRPr="105F1806">
              <w:rPr>
                <w:rFonts w:asciiTheme="minorHAnsi" w:hAnsiTheme="minorHAnsi" w:cstheme="minorBidi"/>
                <w:b/>
                <w:color w:val="104A5A"/>
                <w:sz w:val="22"/>
                <w:szCs w:val="22"/>
              </w:rPr>
              <w:t xml:space="preserve"> 23/24 </w:t>
            </w:r>
            <w:r w:rsidRPr="105F1806">
              <w:rPr>
                <w:rFonts w:asciiTheme="minorHAnsi" w:hAnsiTheme="minorHAnsi" w:cstheme="minorBidi"/>
                <w:color w:val="161B1C"/>
                <w:sz w:val="22"/>
                <w:szCs w:val="22"/>
              </w:rPr>
              <w:t>below refers)</w:t>
            </w:r>
          </w:p>
          <w:p w14:paraId="4F5E01C1" w14:textId="77777777" w:rsidR="002A671A" w:rsidRDefault="002A671A" w:rsidP="00514612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BAACBD" w14:textId="77777777" w:rsidR="00DB2105" w:rsidRDefault="00DB2105" w:rsidP="00514612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670428" w14:textId="77777777" w:rsidR="00DB2105" w:rsidRPr="00E70B0F" w:rsidRDefault="00DB2105" w:rsidP="00514612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671A" w14:paraId="5AF22D04" w14:textId="77777777" w:rsidTr="00DB2105">
        <w:trPr>
          <w:trHeight w:val="5162"/>
        </w:trPr>
        <w:tc>
          <w:tcPr>
            <w:tcW w:w="824" w:type="dxa"/>
            <w:vMerge/>
          </w:tcPr>
          <w:p w14:paraId="7D3795BB" w14:textId="77777777" w:rsidR="002A671A" w:rsidRDefault="002A671A" w:rsidP="00514612">
            <w:pPr>
              <w:rPr>
                <w:b/>
                <w:color w:val="004E6C" w:themeColor="accent2" w:themeShade="80"/>
              </w:rPr>
            </w:pPr>
          </w:p>
        </w:tc>
        <w:tc>
          <w:tcPr>
            <w:tcW w:w="8669" w:type="dxa"/>
            <w:vMerge/>
          </w:tcPr>
          <w:p w14:paraId="587830F3" w14:textId="77777777" w:rsidR="002A671A" w:rsidRPr="00E70B0F" w:rsidRDefault="002A671A" w:rsidP="00514612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color w:val="161B1C"/>
                <w:sz w:val="22"/>
                <w:szCs w:val="22"/>
              </w:rPr>
            </w:pPr>
          </w:p>
        </w:tc>
      </w:tr>
    </w:tbl>
    <w:p w14:paraId="4CEE7217" w14:textId="77777777" w:rsidR="0037052F" w:rsidRDefault="0037052F" w:rsidP="0088655A">
      <w:pPr>
        <w:tabs>
          <w:tab w:val="left" w:pos="7965"/>
        </w:tabs>
      </w:pPr>
    </w:p>
    <w:p w14:paraId="5878E70E" w14:textId="09B0D1C7" w:rsidR="0037052F" w:rsidRDefault="0037052F" w:rsidP="0088655A">
      <w:pPr>
        <w:tabs>
          <w:tab w:val="left" w:pos="7965"/>
        </w:tabs>
      </w:pPr>
    </w:p>
    <w:sdt>
      <w:sdtPr>
        <w:id w:val="-87543873"/>
        <w:docPartObj>
          <w:docPartGallery w:val="Cover Pages"/>
          <w:docPartUnique/>
        </w:docPartObj>
      </w:sdtPr>
      <w:sdtEndPr/>
      <w:sdtContent>
        <w:p w14:paraId="36E4D59A" w14:textId="2B16245F" w:rsidR="001C088A" w:rsidRDefault="001C088A" w:rsidP="00145501">
          <w:pPr>
            <w:tabs>
              <w:tab w:val="left" w:pos="876"/>
            </w:tabs>
          </w:pPr>
        </w:p>
        <w:p w14:paraId="3BB5B777" w14:textId="439EAF9F" w:rsidR="00A47397" w:rsidRDefault="0088655A" w:rsidP="00CB4FF1">
          <w:pPr>
            <w:tabs>
              <w:tab w:val="left" w:pos="7965"/>
            </w:tabs>
          </w:pPr>
          <w:r>
            <w:lastRenderedPageBreak/>
            <w:tab/>
          </w:r>
        </w:p>
        <w:tbl>
          <w:tblPr>
            <w:tblStyle w:val="TableGrid"/>
            <w:tblW w:w="5265" w:type="pct"/>
            <w:tblLayout w:type="fixed"/>
            <w:tblLook w:val="04A0" w:firstRow="1" w:lastRow="0" w:firstColumn="1" w:lastColumn="0" w:noHBand="0" w:noVBand="1"/>
          </w:tblPr>
          <w:tblGrid>
            <w:gridCol w:w="847"/>
            <w:gridCol w:w="8647"/>
          </w:tblGrid>
          <w:tr w:rsidR="002A671A" w:rsidRPr="00696BE4" w14:paraId="130B67D7" w14:textId="3896581B" w:rsidTr="00197044">
            <w:trPr>
              <w:tblHeader/>
            </w:trPr>
            <w:tc>
              <w:tcPr>
                <w:tcW w:w="5000" w:type="pct"/>
                <w:gridSpan w:val="2"/>
                <w:shd w:val="clear" w:color="auto" w:fill="4389D7" w:themeFill="text2" w:themeFillTint="99"/>
              </w:tcPr>
              <w:p w14:paraId="454C1697" w14:textId="4C6C4849" w:rsidR="002A671A" w:rsidRPr="00696BE4" w:rsidRDefault="002A671A" w:rsidP="0088655A">
                <w:pPr>
                  <w:tabs>
                    <w:tab w:val="right" w:pos="9026"/>
                  </w:tabs>
                  <w:rPr>
                    <w:b/>
                  </w:rPr>
                </w:pPr>
              </w:p>
            </w:tc>
          </w:tr>
          <w:tr w:rsidR="002A671A" w14:paraId="31C86A65" w14:textId="2340A815" w:rsidTr="00BA365B">
            <w:tc>
              <w:tcPr>
                <w:tcW w:w="446" w:type="pct"/>
              </w:tcPr>
              <w:p w14:paraId="577D0044" w14:textId="52FA792C" w:rsidR="002A671A" w:rsidRDefault="002A671A" w:rsidP="6EBF44DD">
                <w:pPr>
                  <w:rPr>
                    <w:b/>
                    <w:bCs/>
                    <w:color w:val="004E6C" w:themeColor="accent2" w:themeShade="80"/>
                  </w:rPr>
                </w:pPr>
                <w:r w:rsidRPr="6EBF44DD">
                  <w:rPr>
                    <w:b/>
                    <w:bCs/>
                    <w:color w:val="004E6C" w:themeColor="accent2" w:themeShade="80"/>
                  </w:rPr>
                  <w:t>AC</w:t>
                </w:r>
                <w:r w:rsidR="00951933">
                  <w:rPr>
                    <w:b/>
                    <w:bCs/>
                    <w:color w:val="004E6C" w:themeColor="accent2" w:themeShade="80"/>
                  </w:rPr>
                  <w:t>33</w:t>
                </w:r>
              </w:p>
              <w:p w14:paraId="06701B87" w14:textId="71801AA6" w:rsidR="002A671A" w:rsidRDefault="002A671A" w:rsidP="00644100">
                <w:pPr>
                  <w:rPr>
                    <w:b/>
                    <w:color w:val="073763" w:themeColor="accent1" w:themeShade="80"/>
                  </w:rPr>
                </w:pPr>
                <w:r>
                  <w:rPr>
                    <w:b/>
                    <w:color w:val="004E6C" w:themeColor="accent2" w:themeShade="80"/>
                  </w:rPr>
                  <w:t>24/25</w:t>
                </w:r>
              </w:p>
              <w:p w14:paraId="59C23010" w14:textId="77777777" w:rsidR="002A671A" w:rsidRDefault="002A671A" w:rsidP="00E86231">
                <w:pPr>
                  <w:rPr>
                    <w:b/>
                  </w:rPr>
                </w:pPr>
              </w:p>
              <w:p w14:paraId="5A788543" w14:textId="77777777" w:rsidR="002A671A" w:rsidRDefault="002A671A" w:rsidP="00E86231">
                <w:pPr>
                  <w:rPr>
                    <w:b/>
                  </w:rPr>
                </w:pPr>
              </w:p>
              <w:p w14:paraId="5E611F90" w14:textId="09BAB32D" w:rsidR="002A671A" w:rsidRPr="008E268F" w:rsidRDefault="002A671A" w:rsidP="00E86231">
                <w:pPr>
                  <w:rPr>
                    <w:color w:val="073763" w:themeColor="accent1" w:themeShade="80"/>
                  </w:rPr>
                </w:pPr>
                <w:r w:rsidRPr="00155E54">
                  <w:rPr>
                    <w:b/>
                  </w:rPr>
                  <w:t>Chair</w:t>
                </w:r>
              </w:p>
            </w:tc>
            <w:tc>
              <w:tcPr>
                <w:tcW w:w="4554" w:type="pct"/>
              </w:tcPr>
              <w:p w14:paraId="41B985DC" w14:textId="77777777" w:rsidR="00BA365B" w:rsidRDefault="00BA365B" w:rsidP="00E86231">
                <w:pPr>
                  <w:tabs>
                    <w:tab w:val="right" w:pos="9026"/>
                  </w:tabs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b/>
                  </w:rPr>
                  <w:t xml:space="preserve">Approval of Annual Accounts </w:t>
                </w:r>
              </w:p>
              <w:p w14:paraId="1689AF2D" w14:textId="77777777" w:rsidR="00BA365B" w:rsidRDefault="00BA365B" w:rsidP="00E86231">
                <w:pPr>
                  <w:tabs>
                    <w:tab w:val="right" w:pos="9026"/>
                  </w:tabs>
                  <w:rPr>
                    <w:rFonts w:asciiTheme="minorHAnsi" w:hAnsiTheme="minorHAnsi" w:cstheme="minorHAnsi"/>
                    <w:b/>
                  </w:rPr>
                </w:pPr>
              </w:p>
              <w:p w14:paraId="22AEBD57" w14:textId="25E4810C" w:rsidR="00DE1B60" w:rsidRDefault="002A2D16" w:rsidP="00E86231">
                <w:pPr>
                  <w:tabs>
                    <w:tab w:val="right" w:pos="9026"/>
                  </w:tabs>
                  <w:rPr>
                    <w:rFonts w:asciiTheme="minorHAnsi" w:hAnsiTheme="minorHAnsi" w:cstheme="minorHAnsi"/>
                    <w:bCs/>
                  </w:rPr>
                </w:pPr>
                <w:r w:rsidRPr="002A2D16">
                  <w:rPr>
                    <w:rFonts w:asciiTheme="minorHAnsi" w:hAnsiTheme="minorHAnsi" w:cstheme="minorHAnsi"/>
                    <w:bCs/>
                  </w:rPr>
                  <w:t xml:space="preserve">The annual accounts were agreed </w:t>
                </w:r>
                <w:r w:rsidR="00DE1B60">
                  <w:rPr>
                    <w:rFonts w:asciiTheme="minorHAnsi" w:hAnsiTheme="minorHAnsi" w:cstheme="minorHAnsi"/>
                    <w:bCs/>
                  </w:rPr>
                  <w:t>and recommended to the Governing Body for approval.</w:t>
                </w:r>
              </w:p>
              <w:p w14:paraId="08D37B88" w14:textId="77777777" w:rsidR="00DE1B60" w:rsidRDefault="00DE1B60" w:rsidP="00E86231">
                <w:pPr>
                  <w:tabs>
                    <w:tab w:val="right" w:pos="9026"/>
                  </w:tabs>
                  <w:rPr>
                    <w:rFonts w:asciiTheme="minorHAnsi" w:hAnsiTheme="minorHAnsi" w:cstheme="minorHAnsi"/>
                    <w:bCs/>
                  </w:rPr>
                </w:pPr>
              </w:p>
              <w:p w14:paraId="5B8AEA2E" w14:textId="4AB1BB3D" w:rsidR="009A42FE" w:rsidRDefault="00BB1B21" w:rsidP="00E86231">
                <w:pPr>
                  <w:tabs>
                    <w:tab w:val="right" w:pos="9026"/>
                  </w:tabs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 xml:space="preserve">The financial </w:t>
                </w:r>
                <w:r w:rsidR="00924237">
                  <w:rPr>
                    <w:rFonts w:asciiTheme="minorHAnsi" w:hAnsiTheme="minorHAnsi" w:cstheme="minorHAnsi"/>
                    <w:bCs/>
                  </w:rPr>
                  <w:t>r</w:t>
                </w:r>
                <w:r>
                  <w:rPr>
                    <w:rFonts w:asciiTheme="minorHAnsi" w:hAnsiTheme="minorHAnsi" w:cstheme="minorHAnsi"/>
                    <w:bCs/>
                  </w:rPr>
                  <w:t xml:space="preserve">esults were examined in detail </w:t>
                </w:r>
                <w:r w:rsidR="00AE1236">
                  <w:rPr>
                    <w:rFonts w:asciiTheme="minorHAnsi" w:hAnsiTheme="minorHAnsi" w:cstheme="minorHAnsi"/>
                    <w:bCs/>
                  </w:rPr>
                  <w:t>comparing</w:t>
                </w:r>
                <w:r>
                  <w:rPr>
                    <w:rFonts w:asciiTheme="minorHAnsi" w:hAnsiTheme="minorHAnsi" w:cstheme="minorHAnsi"/>
                    <w:bCs/>
                  </w:rPr>
                  <w:t xml:space="preserve"> the </w:t>
                </w:r>
                <w:r w:rsidR="009A42FE">
                  <w:rPr>
                    <w:rFonts w:asciiTheme="minorHAnsi" w:hAnsiTheme="minorHAnsi" w:cstheme="minorHAnsi"/>
                    <w:bCs/>
                  </w:rPr>
                  <w:t xml:space="preserve">reconstituted </w:t>
                </w:r>
                <w:r>
                  <w:rPr>
                    <w:rFonts w:asciiTheme="minorHAnsi" w:hAnsiTheme="minorHAnsi" w:cstheme="minorHAnsi"/>
                    <w:bCs/>
                  </w:rPr>
                  <w:t>draft 2023</w:t>
                </w:r>
                <w:r w:rsidR="00AE1236">
                  <w:rPr>
                    <w:rFonts w:asciiTheme="minorHAnsi" w:hAnsiTheme="minorHAnsi" w:cstheme="minorHAnsi"/>
                    <w:bCs/>
                  </w:rPr>
                  <w:t>-24 accounts against the actual for 2022-23.</w:t>
                </w:r>
                <w:r w:rsidR="00F20100"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</w:p>
              <w:p w14:paraId="68F03DDE" w14:textId="77777777" w:rsidR="009A42FE" w:rsidRDefault="009A42FE" w:rsidP="00E86231">
                <w:pPr>
                  <w:tabs>
                    <w:tab w:val="right" w:pos="9026"/>
                  </w:tabs>
                  <w:rPr>
                    <w:rFonts w:asciiTheme="minorHAnsi" w:hAnsiTheme="minorHAnsi" w:cstheme="minorHAnsi"/>
                    <w:bCs/>
                  </w:rPr>
                </w:pPr>
              </w:p>
              <w:p w14:paraId="01ED521D" w14:textId="39E20975" w:rsidR="00AE1236" w:rsidRDefault="00F20100" w:rsidP="00E86231">
                <w:pPr>
                  <w:tabs>
                    <w:tab w:val="right" w:pos="9026"/>
                  </w:tabs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 xml:space="preserve">The Comptroller and Auditor General </w:t>
                </w:r>
                <w:r w:rsidR="0000046D">
                  <w:rPr>
                    <w:rFonts w:asciiTheme="minorHAnsi" w:hAnsiTheme="minorHAnsi" w:cstheme="minorHAnsi"/>
                    <w:bCs/>
                  </w:rPr>
                  <w:t>agreed to certify the 2023-24 financial statements with an unqualified audit opinion</w:t>
                </w:r>
                <w:r w:rsidR="003A537D">
                  <w:rPr>
                    <w:rFonts w:asciiTheme="minorHAnsi" w:hAnsiTheme="minorHAnsi" w:cstheme="minorHAnsi"/>
                    <w:bCs/>
                  </w:rPr>
                  <w:t>, without modification.</w:t>
                </w:r>
                <w:r w:rsidR="004E5547">
                  <w:rPr>
                    <w:rFonts w:asciiTheme="minorHAnsi" w:hAnsiTheme="minorHAnsi" w:cstheme="minorHAnsi"/>
                    <w:bCs/>
                  </w:rPr>
                  <w:t xml:space="preserve"> An </w:t>
                </w:r>
                <w:r w:rsidR="00DB2105">
                  <w:rPr>
                    <w:rFonts w:asciiTheme="minorHAnsi" w:hAnsiTheme="minorHAnsi" w:cstheme="minorHAnsi"/>
                    <w:bCs/>
                  </w:rPr>
                  <w:t>‘</w:t>
                </w:r>
                <w:r w:rsidR="004E5547">
                  <w:rPr>
                    <w:rFonts w:asciiTheme="minorHAnsi" w:hAnsiTheme="minorHAnsi" w:cstheme="minorHAnsi"/>
                    <w:bCs/>
                  </w:rPr>
                  <w:t>ot</w:t>
                </w:r>
                <w:r w:rsidR="00FE6BA2">
                  <w:rPr>
                    <w:rFonts w:asciiTheme="minorHAnsi" w:hAnsiTheme="minorHAnsi" w:cstheme="minorHAnsi"/>
                    <w:bCs/>
                  </w:rPr>
                  <w:t>he</w:t>
                </w:r>
                <w:r w:rsidR="004E5547">
                  <w:rPr>
                    <w:rFonts w:asciiTheme="minorHAnsi" w:hAnsiTheme="minorHAnsi" w:cstheme="minorHAnsi"/>
                    <w:bCs/>
                  </w:rPr>
                  <w:t>r matters</w:t>
                </w:r>
                <w:r w:rsidR="00DB2105">
                  <w:rPr>
                    <w:rFonts w:asciiTheme="minorHAnsi" w:hAnsiTheme="minorHAnsi" w:cstheme="minorHAnsi"/>
                    <w:bCs/>
                  </w:rPr>
                  <w:t>’</w:t>
                </w:r>
                <w:r w:rsidR="004E5547"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  <w:r w:rsidR="00FE6BA2">
                  <w:rPr>
                    <w:rFonts w:asciiTheme="minorHAnsi" w:hAnsiTheme="minorHAnsi" w:cstheme="minorHAnsi"/>
                    <w:bCs/>
                  </w:rPr>
                  <w:t>paragraph</w:t>
                </w:r>
                <w:r w:rsidR="004E5547"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  <w:r w:rsidR="00FE6BA2">
                  <w:rPr>
                    <w:rFonts w:asciiTheme="minorHAnsi" w:hAnsiTheme="minorHAnsi" w:cstheme="minorHAnsi"/>
                    <w:bCs/>
                  </w:rPr>
                  <w:t xml:space="preserve">has been added to highlight matters which are fundamental to the </w:t>
                </w:r>
                <w:r w:rsidR="00DB2105">
                  <w:rPr>
                    <w:rFonts w:asciiTheme="minorHAnsi" w:hAnsiTheme="minorHAnsi" w:cstheme="minorHAnsi"/>
                    <w:bCs/>
                  </w:rPr>
                  <w:t>‘</w:t>
                </w:r>
                <w:r w:rsidR="00FE6BA2">
                  <w:rPr>
                    <w:rFonts w:asciiTheme="minorHAnsi" w:hAnsiTheme="minorHAnsi" w:cstheme="minorHAnsi"/>
                    <w:bCs/>
                  </w:rPr>
                  <w:t>users</w:t>
                </w:r>
                <w:r w:rsidR="00DB2105">
                  <w:rPr>
                    <w:rFonts w:asciiTheme="minorHAnsi" w:hAnsiTheme="minorHAnsi" w:cstheme="minorHAnsi"/>
                    <w:bCs/>
                  </w:rPr>
                  <w:t>’</w:t>
                </w:r>
                <w:r w:rsidR="00FE6BA2">
                  <w:rPr>
                    <w:rFonts w:asciiTheme="minorHAnsi" w:hAnsiTheme="minorHAnsi" w:cstheme="minorHAnsi"/>
                    <w:bCs/>
                  </w:rPr>
                  <w:t xml:space="preserve"> understanding of the financial statements. </w:t>
                </w:r>
                <w:r w:rsidR="00485D06">
                  <w:rPr>
                    <w:rFonts w:asciiTheme="minorHAnsi" w:hAnsiTheme="minorHAnsi" w:cstheme="minorHAnsi"/>
                    <w:bCs/>
                  </w:rPr>
                  <w:t>The adjust</w:t>
                </w:r>
                <w:r w:rsidR="00F9394C">
                  <w:rPr>
                    <w:rFonts w:asciiTheme="minorHAnsi" w:hAnsiTheme="minorHAnsi" w:cstheme="minorHAnsi"/>
                    <w:bCs/>
                  </w:rPr>
                  <w:t>ment</w:t>
                </w:r>
                <w:r w:rsidR="00485D06">
                  <w:rPr>
                    <w:rFonts w:asciiTheme="minorHAnsi" w:hAnsiTheme="minorHAnsi" w:cstheme="minorHAnsi"/>
                    <w:bCs/>
                  </w:rPr>
                  <w:t>s related to the technical accounting treatment.</w:t>
                </w:r>
              </w:p>
              <w:p w14:paraId="188F312F" w14:textId="77777777" w:rsidR="00FC177E" w:rsidRDefault="00FC177E" w:rsidP="00E86231">
                <w:pPr>
                  <w:tabs>
                    <w:tab w:val="right" w:pos="9026"/>
                  </w:tabs>
                  <w:rPr>
                    <w:rFonts w:asciiTheme="minorHAnsi" w:hAnsiTheme="minorHAnsi" w:cstheme="minorHAnsi"/>
                    <w:bCs/>
                  </w:rPr>
                </w:pPr>
              </w:p>
              <w:p w14:paraId="6E1C71E4" w14:textId="6FBB0827" w:rsidR="00FC177E" w:rsidRDefault="00851C22" w:rsidP="00E86231">
                <w:pPr>
                  <w:tabs>
                    <w:tab w:val="right" w:pos="9026"/>
                  </w:tabs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>Management have accepted the recommendations</w:t>
                </w:r>
                <w:r w:rsidR="00492789">
                  <w:rPr>
                    <w:rFonts w:asciiTheme="minorHAnsi" w:hAnsiTheme="minorHAnsi" w:cstheme="minorHAnsi"/>
                    <w:bCs/>
                  </w:rPr>
                  <w:t xml:space="preserve"> in the report</w:t>
                </w:r>
                <w:r w:rsidR="00BB2A41">
                  <w:rPr>
                    <w:rFonts w:asciiTheme="minorHAnsi" w:hAnsiTheme="minorHAnsi" w:cstheme="minorHAnsi"/>
                    <w:bCs/>
                  </w:rPr>
                  <w:t>, indeed NIFON met as a sector wide group to assess learning that could be gleaned</w:t>
                </w:r>
                <w:r w:rsidR="0093322A">
                  <w:rPr>
                    <w:rFonts w:asciiTheme="minorHAnsi" w:hAnsiTheme="minorHAnsi" w:cstheme="minorHAnsi"/>
                    <w:bCs/>
                  </w:rPr>
                  <w:t>.</w:t>
                </w:r>
              </w:p>
              <w:p w14:paraId="04874068" w14:textId="77777777" w:rsidR="007A0949" w:rsidRDefault="007A0949" w:rsidP="00E86231">
                <w:pPr>
                  <w:tabs>
                    <w:tab w:val="right" w:pos="9026"/>
                  </w:tabs>
                  <w:rPr>
                    <w:rFonts w:asciiTheme="minorHAnsi" w:hAnsiTheme="minorHAnsi" w:cstheme="minorHAnsi"/>
                    <w:bCs/>
                  </w:rPr>
                </w:pPr>
              </w:p>
              <w:p w14:paraId="13E0EB2F" w14:textId="20AA6BF5" w:rsidR="009A42FE" w:rsidRDefault="007A0949" w:rsidP="00E86231">
                <w:pPr>
                  <w:tabs>
                    <w:tab w:val="right" w:pos="9026"/>
                  </w:tabs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>The Chair thanked both the team</w:t>
                </w:r>
                <w:r w:rsidR="00B64491">
                  <w:rPr>
                    <w:rFonts w:asciiTheme="minorHAnsi" w:hAnsiTheme="minorHAnsi" w:cstheme="minorHAnsi"/>
                    <w:bCs/>
                  </w:rPr>
                  <w:t>s</w:t>
                </w:r>
                <w:r>
                  <w:rPr>
                    <w:rFonts w:asciiTheme="minorHAnsi" w:hAnsiTheme="minorHAnsi" w:cstheme="minorHAnsi"/>
                    <w:bCs/>
                  </w:rPr>
                  <w:t xml:space="preserve"> in NIAO and Belfast Met </w:t>
                </w:r>
                <w:r w:rsidR="0093322A">
                  <w:rPr>
                    <w:rFonts w:asciiTheme="minorHAnsi" w:hAnsiTheme="minorHAnsi" w:cstheme="minorHAnsi"/>
                    <w:bCs/>
                  </w:rPr>
                  <w:t xml:space="preserve">for their </w:t>
                </w:r>
                <w:r w:rsidR="0039497B">
                  <w:rPr>
                    <w:rFonts w:asciiTheme="minorHAnsi" w:hAnsiTheme="minorHAnsi" w:cstheme="minorHAnsi"/>
                    <w:bCs/>
                  </w:rPr>
                  <w:t>industry in having the reports turned round so quickly and to those present for giving their time</w:t>
                </w:r>
                <w:r w:rsidR="00205CA3">
                  <w:rPr>
                    <w:rFonts w:asciiTheme="minorHAnsi" w:hAnsiTheme="minorHAnsi" w:cstheme="minorHAnsi"/>
                    <w:bCs/>
                  </w:rPr>
                  <w:t>.</w:t>
                </w:r>
              </w:p>
              <w:p w14:paraId="73450040" w14:textId="77777777" w:rsidR="00BA365B" w:rsidRPr="00487A96" w:rsidRDefault="00BA365B" w:rsidP="00E86231">
                <w:pPr>
                  <w:tabs>
                    <w:tab w:val="right" w:pos="9026"/>
                  </w:tabs>
                  <w:rPr>
                    <w:rFonts w:asciiTheme="minorHAnsi" w:hAnsiTheme="minorHAnsi" w:cstheme="minorHAnsi"/>
                    <w:b/>
                    <w:bCs/>
                    <w:i/>
                    <w:iCs/>
                  </w:rPr>
                </w:pPr>
              </w:p>
              <w:p w14:paraId="25F71C6D" w14:textId="1713D331" w:rsidR="002A671A" w:rsidRPr="00487A96" w:rsidRDefault="00A4740F" w:rsidP="00B71BC5">
                <w:pPr>
                  <w:tabs>
                    <w:tab w:val="right" w:pos="9026"/>
                  </w:tabs>
                  <w:rPr>
                    <w:b/>
                    <w:bCs/>
                    <w:i/>
                    <w:iCs/>
                  </w:rPr>
                </w:pPr>
                <w:r w:rsidRPr="00487A96">
                  <w:rPr>
                    <w:b/>
                    <w:bCs/>
                    <w:i/>
                    <w:iCs/>
                  </w:rPr>
                  <w:t xml:space="preserve">The meeting ended at </w:t>
                </w:r>
                <w:r w:rsidR="00487A96" w:rsidRPr="00487A96">
                  <w:rPr>
                    <w:b/>
                    <w:bCs/>
                    <w:i/>
                    <w:iCs/>
                  </w:rPr>
                  <w:t>1:26</w:t>
                </w:r>
              </w:p>
              <w:p w14:paraId="714CFE65" w14:textId="7C53E606" w:rsidR="00A4740F" w:rsidRDefault="00A4740F" w:rsidP="00B71BC5">
                <w:pPr>
                  <w:tabs>
                    <w:tab w:val="right" w:pos="9026"/>
                  </w:tabs>
                </w:pPr>
              </w:p>
            </w:tc>
          </w:tr>
        </w:tbl>
        <w:p w14:paraId="1CBE224A" w14:textId="4833D96C" w:rsidR="009D7A12" w:rsidRDefault="00FB0F7F" w:rsidP="009D7A12">
          <w:pPr>
            <w:tabs>
              <w:tab w:val="right" w:pos="9026"/>
            </w:tabs>
          </w:pPr>
        </w:p>
      </w:sdtContent>
    </w:sdt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BC0329" w14:paraId="5F9D1868" w14:textId="77777777" w:rsidTr="00272893">
        <w:trPr>
          <w:tblHeader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0291B8" w14:textId="4B3EFB96" w:rsidR="00BC0329" w:rsidRDefault="00BC0329" w:rsidP="002728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Governing Body Attendance Report and Governing Body Member Assessment 202</w:t>
            </w:r>
            <w:r w:rsidR="00873883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b/>
                <w:bCs/>
              </w:rPr>
              <w:t>/2</w:t>
            </w:r>
            <w:r w:rsidR="00873883">
              <w:rPr>
                <w:rFonts w:cstheme="minorHAnsi"/>
                <w:b/>
                <w:bCs/>
              </w:rPr>
              <w:t>5</w:t>
            </w:r>
          </w:p>
        </w:tc>
      </w:tr>
      <w:tr w:rsidR="00BC0329" w14:paraId="2607E223" w14:textId="77777777" w:rsidTr="00272893">
        <w:trPr>
          <w:tblHeader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BE4272" w14:textId="781A72FE" w:rsidR="00BC0329" w:rsidRDefault="00BC0329" w:rsidP="002728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Participation at </w:t>
            </w:r>
            <w:r w:rsidRPr="00BC0329">
              <w:rPr>
                <w:rFonts w:cstheme="minorHAnsi"/>
                <w:b/>
                <w:bCs/>
                <w:color w:val="073763" w:themeColor="accent1" w:themeShade="80"/>
              </w:rPr>
              <w:t>AC</w:t>
            </w:r>
            <w:r w:rsidR="007679EB">
              <w:rPr>
                <w:rFonts w:cstheme="minorHAnsi"/>
                <w:b/>
                <w:bCs/>
                <w:color w:val="073763" w:themeColor="accent1" w:themeShade="80"/>
              </w:rPr>
              <w:t xml:space="preserve"> </w:t>
            </w:r>
            <w:r w:rsidRPr="00BC0329">
              <w:rPr>
                <w:rFonts w:cstheme="minorHAnsi"/>
                <w:b/>
                <w:bCs/>
                <w:color w:val="073763" w:themeColor="accent1" w:themeShade="80"/>
              </w:rPr>
              <w:t xml:space="preserve"> 2</w:t>
            </w:r>
            <w:r w:rsidR="00873883">
              <w:rPr>
                <w:rFonts w:cstheme="minorHAnsi"/>
                <w:b/>
                <w:bCs/>
                <w:color w:val="073763" w:themeColor="accent1" w:themeShade="80"/>
              </w:rPr>
              <w:t>4</w:t>
            </w:r>
            <w:r w:rsidRPr="00BC0329">
              <w:rPr>
                <w:rFonts w:cstheme="minorHAnsi"/>
                <w:b/>
                <w:bCs/>
                <w:color w:val="073763" w:themeColor="accent1" w:themeShade="80"/>
              </w:rPr>
              <w:t>/2</w:t>
            </w:r>
            <w:r w:rsidR="00873883">
              <w:rPr>
                <w:rFonts w:cstheme="minorHAnsi"/>
                <w:b/>
                <w:bCs/>
                <w:color w:val="073763" w:themeColor="accent1" w:themeShade="80"/>
              </w:rPr>
              <w:t>5</w:t>
            </w:r>
            <w:r w:rsidRPr="00BC0329">
              <w:rPr>
                <w:rFonts w:cstheme="minorHAnsi"/>
                <w:b/>
                <w:bCs/>
                <w:color w:val="073763" w:themeColor="accent1" w:themeShade="80"/>
              </w:rPr>
              <w:t xml:space="preserve"> Audit and Risk Assurance </w:t>
            </w:r>
            <w:proofErr w:type="gramStart"/>
            <w:r w:rsidRPr="00BC0329">
              <w:rPr>
                <w:rFonts w:cstheme="minorHAnsi"/>
                <w:b/>
                <w:bCs/>
                <w:color w:val="073763" w:themeColor="accent1" w:themeShade="80"/>
              </w:rPr>
              <w:t xml:space="preserve">Committee  </w:t>
            </w:r>
            <w:r w:rsidRPr="00AA2B30">
              <w:rPr>
                <w:rFonts w:cstheme="minorHAnsi"/>
                <w:b/>
                <w:bCs/>
              </w:rPr>
              <w:t>Meeting</w:t>
            </w:r>
            <w:proofErr w:type="gramEnd"/>
            <w:r w:rsidRPr="00AA2B30">
              <w:rPr>
                <w:rFonts w:cstheme="minorHAnsi"/>
                <w:b/>
                <w:bCs/>
              </w:rPr>
              <w:t xml:space="preserve"> </w:t>
            </w:r>
            <w:r w:rsidR="007679EB">
              <w:rPr>
                <w:rFonts w:cstheme="minorHAnsi"/>
                <w:b/>
                <w:bCs/>
              </w:rPr>
              <w:t>10 December</w:t>
            </w:r>
            <w:r w:rsidRPr="00AA2B30">
              <w:rPr>
                <w:rFonts w:cstheme="minorHAnsi"/>
                <w:b/>
                <w:bCs/>
              </w:rPr>
              <w:t xml:space="preserve"> 202</w:t>
            </w:r>
            <w:r w:rsidR="00D756F7">
              <w:rPr>
                <w:rFonts w:cstheme="minorHAnsi"/>
                <w:b/>
                <w:bCs/>
              </w:rPr>
              <w:t>4</w:t>
            </w:r>
          </w:p>
        </w:tc>
      </w:tr>
      <w:tr w:rsidR="00BC0329" w14:paraId="55D0CE9B" w14:textId="77777777" w:rsidTr="00272893">
        <w:trPr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7B2093" w14:textId="77777777" w:rsidR="00BC0329" w:rsidRDefault="00BC0329" w:rsidP="002728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In-person at TQ Boardroom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9D624B" w14:textId="77777777" w:rsidR="00BC0329" w:rsidRDefault="00BC0329" w:rsidP="002728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via MS Teams</w:t>
            </w:r>
          </w:p>
        </w:tc>
      </w:tr>
      <w:tr w:rsidR="00BC0329" w14:paraId="1E2F50EC" w14:textId="77777777" w:rsidTr="0027289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7B6" w14:textId="77777777" w:rsidR="00BC0329" w:rsidRDefault="00BC0329" w:rsidP="00272893">
            <w:pPr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CE12" w14:textId="5C826D72" w:rsidR="00BC0329" w:rsidRDefault="00DB2105" w:rsidP="00272893">
            <w:pPr>
              <w:rPr>
                <w:rFonts w:cstheme="minorHAnsi"/>
              </w:rPr>
            </w:pPr>
            <w:r w:rsidRPr="00124151">
              <w:t>Seamus McGoran</w:t>
            </w:r>
          </w:p>
        </w:tc>
      </w:tr>
      <w:tr w:rsidR="00BC0329" w14:paraId="1373F041" w14:textId="77777777" w:rsidTr="0027289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330C" w14:textId="77777777" w:rsidR="00BC0329" w:rsidRDefault="00BC0329" w:rsidP="00272893">
            <w:pPr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0782" w14:textId="670E18E6" w:rsidR="00BC0329" w:rsidRDefault="00DB2105" w:rsidP="00272893">
            <w:pPr>
              <w:rPr>
                <w:rFonts w:cstheme="minorHAnsi"/>
              </w:rPr>
            </w:pPr>
            <w:r w:rsidRPr="00124151">
              <w:t>Bill Montgomery</w:t>
            </w:r>
          </w:p>
        </w:tc>
      </w:tr>
    </w:tbl>
    <w:p w14:paraId="15A2C8B6" w14:textId="77777777" w:rsidR="00BC0329" w:rsidRDefault="00BC0329" w:rsidP="00BC0329"/>
    <w:p w14:paraId="49D527DC" w14:textId="1167120B" w:rsidR="00E032C2" w:rsidRPr="00E032C2" w:rsidRDefault="00E032C2" w:rsidP="00E032C2"/>
    <w:p w14:paraId="3A2BF1C9" w14:textId="42E771EE" w:rsidR="00E032C2" w:rsidRPr="00E032C2" w:rsidRDefault="00E032C2" w:rsidP="00E032C2"/>
    <w:p w14:paraId="7146EC90" w14:textId="0C4609A6" w:rsidR="00E032C2" w:rsidRDefault="00601D1D" w:rsidP="00E032C2">
      <w:r>
        <w:t>Approved at Audit Risk and Assurance Committee 6 March 202</w:t>
      </w:r>
      <w:r w:rsidR="00542C34">
        <w:t>5</w:t>
      </w:r>
    </w:p>
    <w:p w14:paraId="1DB7BAA1" w14:textId="77777777" w:rsidR="00542C34" w:rsidRDefault="00542C34" w:rsidP="00E032C2"/>
    <w:p w14:paraId="1C0D5F17" w14:textId="4D0D6322" w:rsidR="00A332A4" w:rsidRPr="00E032C2" w:rsidRDefault="00542C34" w:rsidP="00E032C2">
      <w:r>
        <w:t>Approved for Release at Governing Body Meeting held 31 March 2025</w:t>
      </w:r>
    </w:p>
    <w:p w14:paraId="74F35EFB" w14:textId="378FAD6F" w:rsidR="00E032C2" w:rsidRPr="00E032C2" w:rsidRDefault="00E032C2" w:rsidP="00E032C2"/>
    <w:p w14:paraId="404CA02A" w14:textId="56A9544E" w:rsidR="00E032C2" w:rsidRPr="00E032C2" w:rsidRDefault="00E032C2" w:rsidP="00BC0329"/>
    <w:p w14:paraId="39142780" w14:textId="553C3A4E" w:rsidR="00E032C2" w:rsidRPr="00E032C2" w:rsidRDefault="00E032C2" w:rsidP="00E032C2"/>
    <w:p w14:paraId="28F04884" w14:textId="251AB138" w:rsidR="00E032C2" w:rsidRPr="00E032C2" w:rsidRDefault="00E032C2" w:rsidP="00E032C2"/>
    <w:sectPr w:rsidR="00E032C2" w:rsidRPr="00E032C2" w:rsidSect="00B82D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BC6B" w14:textId="77777777" w:rsidR="00804429" w:rsidRDefault="00804429" w:rsidP="0046542E">
      <w:pPr>
        <w:spacing w:after="0" w:line="240" w:lineRule="auto"/>
      </w:pPr>
      <w:r>
        <w:separator/>
      </w:r>
    </w:p>
  </w:endnote>
  <w:endnote w:type="continuationSeparator" w:id="0">
    <w:p w14:paraId="3F3B74B3" w14:textId="77777777" w:rsidR="00804429" w:rsidRDefault="00804429" w:rsidP="0046542E">
      <w:pPr>
        <w:spacing w:after="0" w:line="240" w:lineRule="auto"/>
      </w:pPr>
      <w:r>
        <w:continuationSeparator/>
      </w:r>
    </w:p>
  </w:endnote>
  <w:endnote w:type="continuationNotice" w:id="1">
    <w:p w14:paraId="734C1C7D" w14:textId="77777777" w:rsidR="00804429" w:rsidRDefault="008044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95E1" w14:textId="77777777" w:rsidR="00106E30" w:rsidRDefault="00106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theme="minorBidi"/>
      </w:rPr>
      <w:id w:val="-1031790971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sdt>
        <w:sdtPr>
          <w:rPr>
            <w:rFonts w:asciiTheme="minorHAnsi" w:eastAsiaTheme="minorEastAsia" w:hAnsiTheme="minorHAnsi" w:cstheme="minorBidi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color w:val="FF0000"/>
          </w:rPr>
        </w:sdtEndPr>
        <w:sdtContent>
          <w:p w14:paraId="222DDC6F" w14:textId="3506EFBD" w:rsidR="000F284E" w:rsidRPr="00187089" w:rsidRDefault="0088655A" w:rsidP="000F284E">
            <w:pPr>
              <w:rPr>
                <w:rFonts w:cs="Arial"/>
                <w:b/>
                <w:bCs/>
              </w:rPr>
            </w:pPr>
            <w:r w:rsidRPr="00187089">
              <w:rPr>
                <w:b/>
                <w:bCs/>
              </w:rPr>
              <w:t xml:space="preserve">Page </w:t>
            </w:r>
            <w:r w:rsidRPr="00187089">
              <w:rPr>
                <w:b/>
                <w:bCs/>
              </w:rPr>
              <w:fldChar w:fldCharType="begin"/>
            </w:r>
            <w:r w:rsidRPr="00187089">
              <w:rPr>
                <w:b/>
                <w:bCs/>
              </w:rPr>
              <w:instrText xml:space="preserve"> PAGE </w:instrText>
            </w:r>
            <w:r w:rsidRPr="00187089">
              <w:rPr>
                <w:b/>
                <w:bCs/>
              </w:rPr>
              <w:fldChar w:fldCharType="separate"/>
            </w:r>
            <w:r w:rsidR="0043285C" w:rsidRPr="00187089">
              <w:rPr>
                <w:b/>
                <w:bCs/>
                <w:noProof/>
              </w:rPr>
              <w:t>3</w:t>
            </w:r>
            <w:r w:rsidRPr="00187089">
              <w:rPr>
                <w:b/>
                <w:bCs/>
              </w:rPr>
              <w:fldChar w:fldCharType="end"/>
            </w:r>
            <w:r w:rsidRPr="00187089">
              <w:rPr>
                <w:b/>
                <w:bCs/>
              </w:rPr>
              <w:t xml:space="preserve"> of </w:t>
            </w:r>
            <w:r w:rsidRPr="00187089">
              <w:rPr>
                <w:b/>
                <w:bCs/>
              </w:rPr>
              <w:fldChar w:fldCharType="begin"/>
            </w:r>
            <w:r w:rsidRPr="00187089">
              <w:rPr>
                <w:b/>
                <w:bCs/>
              </w:rPr>
              <w:instrText xml:space="preserve"> NUMPAGES  </w:instrText>
            </w:r>
            <w:r w:rsidRPr="00187089">
              <w:rPr>
                <w:b/>
                <w:bCs/>
              </w:rPr>
              <w:fldChar w:fldCharType="separate"/>
            </w:r>
            <w:r w:rsidR="0043285C" w:rsidRPr="00187089">
              <w:rPr>
                <w:b/>
                <w:bCs/>
                <w:noProof/>
              </w:rPr>
              <w:t>3</w:t>
            </w:r>
            <w:r w:rsidRPr="00187089">
              <w:rPr>
                <w:b/>
                <w:bCs/>
              </w:rPr>
              <w:fldChar w:fldCharType="end"/>
            </w:r>
            <w:r w:rsidRPr="00187089">
              <w:rPr>
                <w:b/>
                <w:bCs/>
              </w:rPr>
              <w:t xml:space="preserve"> </w:t>
            </w:r>
            <w:r w:rsidR="105F1806" w:rsidRPr="00187089">
              <w:rPr>
                <w:b/>
                <w:bCs/>
              </w:rPr>
              <w:t>AC</w:t>
            </w:r>
            <w:r w:rsidR="00187089" w:rsidRPr="00187089">
              <w:rPr>
                <w:b/>
                <w:bCs/>
              </w:rPr>
              <w:t>35</w:t>
            </w:r>
            <w:r w:rsidR="00B82DB4" w:rsidRPr="00187089">
              <w:rPr>
                <w:b/>
                <w:bCs/>
              </w:rPr>
              <w:t xml:space="preserve"> </w:t>
            </w:r>
            <w:r w:rsidR="00193FAA" w:rsidRPr="00187089">
              <w:rPr>
                <w:b/>
                <w:bCs/>
              </w:rPr>
              <w:t>2</w:t>
            </w:r>
            <w:r w:rsidR="00873883" w:rsidRPr="00187089">
              <w:rPr>
                <w:b/>
                <w:bCs/>
              </w:rPr>
              <w:t>4</w:t>
            </w:r>
            <w:r w:rsidRPr="00187089">
              <w:rPr>
                <w:b/>
                <w:bCs/>
              </w:rPr>
              <w:t>/2</w:t>
            </w:r>
            <w:r w:rsidR="00873883" w:rsidRPr="00187089">
              <w:rPr>
                <w:b/>
                <w:bCs/>
              </w:rPr>
              <w:t>5</w:t>
            </w:r>
            <w:r w:rsidRPr="00187089">
              <w:rPr>
                <w:b/>
                <w:bCs/>
              </w:rPr>
              <w:t xml:space="preserve"> </w:t>
            </w:r>
            <w:r w:rsidR="00A332A4" w:rsidRPr="00187089">
              <w:rPr>
                <w:b/>
                <w:bCs/>
              </w:rPr>
              <w:t xml:space="preserve">Minutes of the </w:t>
            </w:r>
            <w:r w:rsidR="009D7A12" w:rsidRPr="00187089">
              <w:rPr>
                <w:b/>
                <w:bCs/>
              </w:rPr>
              <w:t>Meeting</w:t>
            </w:r>
            <w:r w:rsidR="00ED671B" w:rsidRPr="00187089">
              <w:rPr>
                <w:b/>
                <w:bCs/>
              </w:rPr>
              <w:t xml:space="preserve"> </w:t>
            </w:r>
            <w:r w:rsidR="00187089" w:rsidRPr="00187089">
              <w:rPr>
                <w:b/>
                <w:bCs/>
              </w:rPr>
              <w:t>10 December 2024</w:t>
            </w:r>
            <w:r w:rsidR="00A02FE6" w:rsidRPr="00187089">
              <w:rPr>
                <w:b/>
                <w:bCs/>
              </w:rPr>
              <w:t xml:space="preserve"> </w:t>
            </w:r>
          </w:p>
          <w:p w14:paraId="51AAF913" w14:textId="546E5654" w:rsidR="0088655A" w:rsidRPr="0088655A" w:rsidRDefault="00793098">
            <w:pPr>
              <w:pStyle w:val="Footer"/>
            </w:pPr>
            <w:r w:rsidRPr="00ED671B">
              <w:rPr>
                <w:b/>
                <w:bCs/>
              </w:rPr>
              <w:t xml:space="preserve"> </w:t>
            </w:r>
          </w:p>
        </w:sdtContent>
      </w:sdt>
    </w:sdtContent>
  </w:sdt>
  <w:p w14:paraId="27222ABE" w14:textId="77777777" w:rsidR="0088655A" w:rsidRPr="0088655A" w:rsidRDefault="0088655A">
    <w:pPr>
      <w:pStyle w:val="Footer"/>
    </w:pPr>
  </w:p>
  <w:p w14:paraId="69DF9376" w14:textId="77777777" w:rsidR="005921FA" w:rsidRDefault="005921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BF44DD" w14:paraId="25216379" w14:textId="77777777" w:rsidTr="6EBF44DD">
      <w:trPr>
        <w:trHeight w:val="300"/>
      </w:trPr>
      <w:tc>
        <w:tcPr>
          <w:tcW w:w="3005" w:type="dxa"/>
        </w:tcPr>
        <w:p w14:paraId="347961F9" w14:textId="348FFF4C" w:rsidR="6EBF44DD" w:rsidRDefault="6EBF44DD" w:rsidP="6EBF44DD">
          <w:pPr>
            <w:pStyle w:val="Header"/>
            <w:ind w:left="-115"/>
          </w:pPr>
        </w:p>
      </w:tc>
      <w:tc>
        <w:tcPr>
          <w:tcW w:w="3005" w:type="dxa"/>
        </w:tcPr>
        <w:p w14:paraId="57B29D2C" w14:textId="09A62A52" w:rsidR="6EBF44DD" w:rsidRDefault="6EBF44DD" w:rsidP="6EBF44DD">
          <w:pPr>
            <w:pStyle w:val="Header"/>
            <w:jc w:val="center"/>
          </w:pPr>
        </w:p>
      </w:tc>
      <w:tc>
        <w:tcPr>
          <w:tcW w:w="3005" w:type="dxa"/>
        </w:tcPr>
        <w:p w14:paraId="274165C9" w14:textId="4DC08F40" w:rsidR="6EBF44DD" w:rsidRDefault="6EBF44DD" w:rsidP="6EBF44DD">
          <w:pPr>
            <w:pStyle w:val="Header"/>
            <w:ind w:right="-115"/>
            <w:jc w:val="right"/>
          </w:pPr>
        </w:p>
      </w:tc>
    </w:tr>
  </w:tbl>
  <w:p w14:paraId="09A8E9C4" w14:textId="0557FF53" w:rsidR="6EBF44DD" w:rsidRDefault="6EBF44DD" w:rsidP="6EBF4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0617" w14:textId="77777777" w:rsidR="00804429" w:rsidRDefault="00804429" w:rsidP="0046542E">
      <w:pPr>
        <w:spacing w:after="0" w:line="240" w:lineRule="auto"/>
      </w:pPr>
      <w:r>
        <w:separator/>
      </w:r>
    </w:p>
  </w:footnote>
  <w:footnote w:type="continuationSeparator" w:id="0">
    <w:p w14:paraId="41B03E3B" w14:textId="77777777" w:rsidR="00804429" w:rsidRDefault="00804429" w:rsidP="0046542E">
      <w:pPr>
        <w:spacing w:after="0" w:line="240" w:lineRule="auto"/>
      </w:pPr>
      <w:r>
        <w:continuationSeparator/>
      </w:r>
    </w:p>
  </w:footnote>
  <w:footnote w:type="continuationNotice" w:id="1">
    <w:p w14:paraId="1E4876E4" w14:textId="77777777" w:rsidR="00804429" w:rsidRDefault="008044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2C93" w14:textId="77777777" w:rsidR="00106E30" w:rsidRDefault="00106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E92A" w14:textId="3D2094B8" w:rsidR="00BE045A" w:rsidRPr="00BE045A" w:rsidRDefault="00BE045A">
    <w:pPr>
      <w:pStyle w:val="Header"/>
      <w:rPr>
        <w:color w:val="0F6FC6" w:themeColor="accent1"/>
        <w:sz w:val="16"/>
        <w:szCs w:val="16"/>
      </w:rPr>
    </w:pPr>
    <w:r w:rsidRPr="00BE045A">
      <w:rPr>
        <w:noProof/>
        <w:color w:val="0F6FC6" w:themeColor="accent1"/>
        <w:sz w:val="16"/>
        <w:szCs w:val="16"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66AFA6B" wp14:editId="0115D994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0B5294" w:themeColor="accent1" w:themeShade="BF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CD7F7AD" w14:textId="293F9ACC" w:rsidR="00BE045A" w:rsidRPr="00094EC0" w:rsidRDefault="0093124E">
                              <w:pPr>
                                <w:pStyle w:val="Header"/>
                                <w:jc w:val="center"/>
                                <w:rPr>
                                  <w:color w:val="0075A2" w:themeColor="accent2" w:themeShade="BF"/>
                                </w:rPr>
                              </w:pPr>
                              <w:r w:rsidRPr="00094EC0">
                                <w:rPr>
                                  <w:b/>
                                  <w:color w:val="0B5294" w:themeColor="accent1" w:themeShade="BF"/>
                                </w:rPr>
                                <w:t xml:space="preserve">Belfast Metropolitan College Audit and Risk </w:t>
                              </w:r>
                              <w:r w:rsidR="00CD17B9">
                                <w:rPr>
                                  <w:b/>
                                  <w:color w:val="0B5294" w:themeColor="accent1" w:themeShade="BF"/>
                                </w:rPr>
                                <w:t xml:space="preserve">Assurance </w:t>
                              </w:r>
                              <w:r w:rsidRPr="00094EC0">
                                <w:rPr>
                                  <w:b/>
                                  <w:color w:val="0B5294" w:themeColor="accent1" w:themeShade="BF"/>
                                </w:rPr>
                                <w:t>Committee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66AFA6B" id="Rectangle 197" o:spid="_x0000_s1026" style="position:absolute;margin-left:417.3pt;margin-top:22.85pt;width:468.5pt;height:21.3pt;z-index:-251658240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0B5294" w:themeColor="accent1" w:themeShade="BF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CD7F7AD" w14:textId="293F9ACC" w:rsidR="00BE045A" w:rsidRPr="00094EC0" w:rsidRDefault="0093124E">
                        <w:pPr>
                          <w:pStyle w:val="Header"/>
                          <w:jc w:val="center"/>
                          <w:rPr>
                            <w:color w:val="0075A2" w:themeColor="accent2" w:themeShade="BF"/>
                          </w:rPr>
                        </w:pPr>
                        <w:r w:rsidRPr="00094EC0">
                          <w:rPr>
                            <w:b/>
                            <w:color w:val="0B5294" w:themeColor="accent1" w:themeShade="BF"/>
                          </w:rPr>
                          <w:t xml:space="preserve">Belfast Metropolitan College Audit and Risk </w:t>
                        </w:r>
                        <w:r w:rsidR="00CD17B9">
                          <w:rPr>
                            <w:b/>
                            <w:color w:val="0B5294" w:themeColor="accent1" w:themeShade="BF"/>
                          </w:rPr>
                          <w:t xml:space="preserve">Assurance </w:t>
                        </w:r>
                        <w:r w:rsidRPr="00094EC0">
                          <w:rPr>
                            <w:b/>
                            <w:color w:val="0B5294" w:themeColor="accent1" w:themeShade="BF"/>
                          </w:rPr>
                          <w:t>Committee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BF44DD" w14:paraId="015AC3C9" w14:textId="77777777" w:rsidTr="6EBF44DD">
      <w:trPr>
        <w:trHeight w:val="300"/>
      </w:trPr>
      <w:tc>
        <w:tcPr>
          <w:tcW w:w="3005" w:type="dxa"/>
        </w:tcPr>
        <w:p w14:paraId="36E804D3" w14:textId="265AD824" w:rsidR="6EBF44DD" w:rsidRDefault="6EBF44DD" w:rsidP="6EBF44DD">
          <w:pPr>
            <w:pStyle w:val="Header"/>
            <w:ind w:left="-115"/>
          </w:pPr>
        </w:p>
      </w:tc>
      <w:tc>
        <w:tcPr>
          <w:tcW w:w="3005" w:type="dxa"/>
        </w:tcPr>
        <w:p w14:paraId="34CBA480" w14:textId="3DED2649" w:rsidR="6EBF44DD" w:rsidRDefault="6EBF44DD" w:rsidP="6EBF44DD">
          <w:pPr>
            <w:pStyle w:val="Header"/>
            <w:jc w:val="center"/>
          </w:pPr>
        </w:p>
      </w:tc>
      <w:tc>
        <w:tcPr>
          <w:tcW w:w="3005" w:type="dxa"/>
        </w:tcPr>
        <w:p w14:paraId="3D572B81" w14:textId="598ED24A" w:rsidR="6EBF44DD" w:rsidRDefault="6EBF44DD" w:rsidP="6EBF44DD">
          <w:pPr>
            <w:pStyle w:val="Header"/>
            <w:ind w:right="-115"/>
            <w:jc w:val="right"/>
          </w:pPr>
        </w:p>
      </w:tc>
    </w:tr>
  </w:tbl>
  <w:p w14:paraId="2E988110" w14:textId="746BD854" w:rsidR="6EBF44DD" w:rsidRDefault="6EBF44DD" w:rsidP="6EBF4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E94"/>
    <w:multiLevelType w:val="hybridMultilevel"/>
    <w:tmpl w:val="0D968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C68"/>
    <w:multiLevelType w:val="hybridMultilevel"/>
    <w:tmpl w:val="F52093C6"/>
    <w:lvl w:ilvl="0" w:tplc="B3E874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05AC"/>
    <w:multiLevelType w:val="hybridMultilevel"/>
    <w:tmpl w:val="7C8EEFCA"/>
    <w:lvl w:ilvl="0" w:tplc="36082BB0">
      <w:start w:val="1"/>
      <w:numFmt w:val="lowerLetter"/>
      <w:lvlText w:val="(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2128"/>
    <w:multiLevelType w:val="hybridMultilevel"/>
    <w:tmpl w:val="B638FC36"/>
    <w:lvl w:ilvl="0" w:tplc="8B76CC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01477"/>
    <w:multiLevelType w:val="hybridMultilevel"/>
    <w:tmpl w:val="9132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71179"/>
    <w:multiLevelType w:val="hybridMultilevel"/>
    <w:tmpl w:val="2796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61055"/>
    <w:multiLevelType w:val="hybridMultilevel"/>
    <w:tmpl w:val="BF00D89C"/>
    <w:lvl w:ilvl="0" w:tplc="8730D55A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36A69"/>
    <w:multiLevelType w:val="hybridMultilevel"/>
    <w:tmpl w:val="A584245C"/>
    <w:lvl w:ilvl="0" w:tplc="DEACF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B50"/>
    <w:multiLevelType w:val="hybridMultilevel"/>
    <w:tmpl w:val="D86AE718"/>
    <w:lvl w:ilvl="0" w:tplc="E536E9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41B7A"/>
    <w:multiLevelType w:val="hybridMultilevel"/>
    <w:tmpl w:val="9D5EB12E"/>
    <w:lvl w:ilvl="0" w:tplc="B142B0DC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2028606A"/>
    <w:multiLevelType w:val="hybridMultilevel"/>
    <w:tmpl w:val="F0FEFD58"/>
    <w:lvl w:ilvl="0" w:tplc="BCA0C1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953B1"/>
    <w:multiLevelType w:val="hybridMultilevel"/>
    <w:tmpl w:val="FA6C8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7618A"/>
    <w:multiLevelType w:val="hybridMultilevel"/>
    <w:tmpl w:val="AE72D0B2"/>
    <w:lvl w:ilvl="0" w:tplc="D74E73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77A88"/>
    <w:multiLevelType w:val="hybridMultilevel"/>
    <w:tmpl w:val="AD5E8D38"/>
    <w:lvl w:ilvl="0" w:tplc="E1948F86">
      <w:start w:val="1"/>
      <w:numFmt w:val="lowerLetter"/>
      <w:lvlText w:val="(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11679"/>
    <w:multiLevelType w:val="hybridMultilevel"/>
    <w:tmpl w:val="7C10FC1E"/>
    <w:lvl w:ilvl="0" w:tplc="E77412E6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A2538"/>
    <w:multiLevelType w:val="hybridMultilevel"/>
    <w:tmpl w:val="879AA032"/>
    <w:lvl w:ilvl="0" w:tplc="E0CEC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C7962"/>
    <w:multiLevelType w:val="hybridMultilevel"/>
    <w:tmpl w:val="04E8B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F0E76"/>
    <w:multiLevelType w:val="multilevel"/>
    <w:tmpl w:val="0588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271E17"/>
    <w:multiLevelType w:val="hybridMultilevel"/>
    <w:tmpl w:val="7038ACF6"/>
    <w:lvl w:ilvl="0" w:tplc="8EE8C9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95768"/>
    <w:multiLevelType w:val="hybridMultilevel"/>
    <w:tmpl w:val="94FC11D2"/>
    <w:lvl w:ilvl="0" w:tplc="5B4C07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F5D23"/>
    <w:multiLevelType w:val="hybridMultilevel"/>
    <w:tmpl w:val="7CDA45D0"/>
    <w:lvl w:ilvl="0" w:tplc="81E481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50A8B"/>
    <w:multiLevelType w:val="hybridMultilevel"/>
    <w:tmpl w:val="33DCD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A5D24"/>
    <w:multiLevelType w:val="hybridMultilevel"/>
    <w:tmpl w:val="9DBCA8BE"/>
    <w:lvl w:ilvl="0" w:tplc="DA9AEF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16F6E"/>
    <w:multiLevelType w:val="multilevel"/>
    <w:tmpl w:val="5134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6C3504"/>
    <w:multiLevelType w:val="hybridMultilevel"/>
    <w:tmpl w:val="7CB6BA26"/>
    <w:lvl w:ilvl="0" w:tplc="A8D6B042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85906"/>
    <w:multiLevelType w:val="multilevel"/>
    <w:tmpl w:val="0D94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43254"/>
    <w:multiLevelType w:val="hybridMultilevel"/>
    <w:tmpl w:val="6C30E99C"/>
    <w:lvl w:ilvl="0" w:tplc="F1DC4E0A">
      <w:start w:val="1"/>
      <w:numFmt w:val="lowerLetter"/>
      <w:lvlText w:val="(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470EB3"/>
    <w:multiLevelType w:val="hybridMultilevel"/>
    <w:tmpl w:val="48F8B260"/>
    <w:lvl w:ilvl="0" w:tplc="E21CE54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31C6E"/>
    <w:multiLevelType w:val="hybridMultilevel"/>
    <w:tmpl w:val="0CEC02B2"/>
    <w:lvl w:ilvl="0" w:tplc="EA76315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413A1"/>
    <w:multiLevelType w:val="hybridMultilevel"/>
    <w:tmpl w:val="5952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F581D"/>
    <w:multiLevelType w:val="hybridMultilevel"/>
    <w:tmpl w:val="273EB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250B8"/>
    <w:multiLevelType w:val="hybridMultilevel"/>
    <w:tmpl w:val="BC1ABF88"/>
    <w:lvl w:ilvl="0" w:tplc="A0648632">
      <w:start w:val="1"/>
      <w:numFmt w:val="lowerLetter"/>
      <w:lvlText w:val="(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34076"/>
    <w:multiLevelType w:val="hybridMultilevel"/>
    <w:tmpl w:val="4DE6D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67029"/>
    <w:multiLevelType w:val="hybridMultilevel"/>
    <w:tmpl w:val="8488C574"/>
    <w:lvl w:ilvl="0" w:tplc="216C93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10622"/>
    <w:multiLevelType w:val="hybridMultilevel"/>
    <w:tmpl w:val="2076B404"/>
    <w:lvl w:ilvl="0" w:tplc="48B813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75569"/>
    <w:multiLevelType w:val="hybridMultilevel"/>
    <w:tmpl w:val="75CC7B36"/>
    <w:lvl w:ilvl="0" w:tplc="774E7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704298">
    <w:abstractNumId w:val="6"/>
  </w:num>
  <w:num w:numId="2" w16cid:durableId="452940341">
    <w:abstractNumId w:val="13"/>
  </w:num>
  <w:num w:numId="3" w16cid:durableId="1468620072">
    <w:abstractNumId w:val="31"/>
  </w:num>
  <w:num w:numId="4" w16cid:durableId="1897467769">
    <w:abstractNumId w:val="2"/>
  </w:num>
  <w:num w:numId="5" w16cid:durableId="515118257">
    <w:abstractNumId w:val="18"/>
  </w:num>
  <w:num w:numId="6" w16cid:durableId="1271933969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107962568">
    <w:abstractNumId w:val="12"/>
  </w:num>
  <w:num w:numId="8" w16cid:durableId="538738361">
    <w:abstractNumId w:val="36"/>
  </w:num>
  <w:num w:numId="9" w16cid:durableId="383453345">
    <w:abstractNumId w:val="26"/>
  </w:num>
  <w:num w:numId="10" w16cid:durableId="1567495954">
    <w:abstractNumId w:val="16"/>
  </w:num>
  <w:num w:numId="11" w16cid:durableId="1215578497">
    <w:abstractNumId w:val="9"/>
  </w:num>
  <w:num w:numId="12" w16cid:durableId="1152984588">
    <w:abstractNumId w:val="15"/>
  </w:num>
  <w:num w:numId="13" w16cid:durableId="2022781975">
    <w:abstractNumId w:val="11"/>
  </w:num>
  <w:num w:numId="14" w16cid:durableId="294139262">
    <w:abstractNumId w:val="27"/>
  </w:num>
  <w:num w:numId="15" w16cid:durableId="1624849262">
    <w:abstractNumId w:val="1"/>
  </w:num>
  <w:num w:numId="16" w16cid:durableId="1909802417">
    <w:abstractNumId w:val="4"/>
  </w:num>
  <w:num w:numId="17" w16cid:durableId="1334449394">
    <w:abstractNumId w:val="3"/>
  </w:num>
  <w:num w:numId="18" w16cid:durableId="1216046902">
    <w:abstractNumId w:val="7"/>
  </w:num>
  <w:num w:numId="19" w16cid:durableId="360014984">
    <w:abstractNumId w:val="21"/>
  </w:num>
  <w:num w:numId="20" w16cid:durableId="1505894578">
    <w:abstractNumId w:val="29"/>
  </w:num>
  <w:num w:numId="21" w16cid:durableId="510486820">
    <w:abstractNumId w:val="0"/>
  </w:num>
  <w:num w:numId="22" w16cid:durableId="1866364546">
    <w:abstractNumId w:val="8"/>
  </w:num>
  <w:num w:numId="23" w16cid:durableId="712920503">
    <w:abstractNumId w:val="10"/>
  </w:num>
  <w:num w:numId="24" w16cid:durableId="1397314626">
    <w:abstractNumId w:val="19"/>
  </w:num>
  <w:num w:numId="25" w16cid:durableId="7034824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1232118">
    <w:abstractNumId w:val="34"/>
  </w:num>
  <w:num w:numId="27" w16cid:durableId="1807821155">
    <w:abstractNumId w:val="35"/>
  </w:num>
  <w:num w:numId="28" w16cid:durableId="958488590">
    <w:abstractNumId w:val="32"/>
  </w:num>
  <w:num w:numId="29" w16cid:durableId="2110391785">
    <w:abstractNumId w:val="23"/>
  </w:num>
  <w:num w:numId="30" w16cid:durableId="1864588527">
    <w:abstractNumId w:val="5"/>
  </w:num>
  <w:num w:numId="31" w16cid:durableId="1581520216">
    <w:abstractNumId w:val="22"/>
  </w:num>
  <w:num w:numId="32" w16cid:durableId="1378429353">
    <w:abstractNumId w:val="24"/>
  </w:num>
  <w:num w:numId="33" w16cid:durableId="286199077">
    <w:abstractNumId w:val="28"/>
  </w:num>
  <w:num w:numId="34" w16cid:durableId="1812601485">
    <w:abstractNumId w:val="20"/>
  </w:num>
  <w:num w:numId="35" w16cid:durableId="1433166429">
    <w:abstractNumId w:val="25"/>
  </w:num>
  <w:num w:numId="36" w16cid:durableId="1812362176">
    <w:abstractNumId w:val="17"/>
  </w:num>
  <w:num w:numId="37" w16cid:durableId="795106105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0046D"/>
    <w:rsid w:val="00002367"/>
    <w:rsid w:val="0000444C"/>
    <w:rsid w:val="0000491A"/>
    <w:rsid w:val="000111A1"/>
    <w:rsid w:val="00014A56"/>
    <w:rsid w:val="000164E5"/>
    <w:rsid w:val="0004274A"/>
    <w:rsid w:val="00042A7A"/>
    <w:rsid w:val="000455B5"/>
    <w:rsid w:val="00045B8D"/>
    <w:rsid w:val="00047963"/>
    <w:rsid w:val="00047CB8"/>
    <w:rsid w:val="00050517"/>
    <w:rsid w:val="000536A1"/>
    <w:rsid w:val="00053BD8"/>
    <w:rsid w:val="000670BC"/>
    <w:rsid w:val="00071824"/>
    <w:rsid w:val="000777F1"/>
    <w:rsid w:val="000823D8"/>
    <w:rsid w:val="00083EFE"/>
    <w:rsid w:val="00084C44"/>
    <w:rsid w:val="00084D22"/>
    <w:rsid w:val="00084F8C"/>
    <w:rsid w:val="00094EC0"/>
    <w:rsid w:val="00097F1F"/>
    <w:rsid w:val="000A42D2"/>
    <w:rsid w:val="000A5BBF"/>
    <w:rsid w:val="000A5BE3"/>
    <w:rsid w:val="000A5F37"/>
    <w:rsid w:val="000A6D26"/>
    <w:rsid w:val="000A784B"/>
    <w:rsid w:val="000B2F2C"/>
    <w:rsid w:val="000B78DC"/>
    <w:rsid w:val="000C3308"/>
    <w:rsid w:val="000C40F8"/>
    <w:rsid w:val="000C4B3C"/>
    <w:rsid w:val="000C5849"/>
    <w:rsid w:val="000D14C1"/>
    <w:rsid w:val="000D6803"/>
    <w:rsid w:val="000E67AF"/>
    <w:rsid w:val="000F284E"/>
    <w:rsid w:val="000F2FFC"/>
    <w:rsid w:val="00105675"/>
    <w:rsid w:val="00106E30"/>
    <w:rsid w:val="001075A2"/>
    <w:rsid w:val="0011746F"/>
    <w:rsid w:val="00121C01"/>
    <w:rsid w:val="00122501"/>
    <w:rsid w:val="00122879"/>
    <w:rsid w:val="00124151"/>
    <w:rsid w:val="00126179"/>
    <w:rsid w:val="001273DA"/>
    <w:rsid w:val="001327CB"/>
    <w:rsid w:val="00132EAB"/>
    <w:rsid w:val="00133FBC"/>
    <w:rsid w:val="00134DA0"/>
    <w:rsid w:val="001352F1"/>
    <w:rsid w:val="001356E1"/>
    <w:rsid w:val="001358D2"/>
    <w:rsid w:val="00145501"/>
    <w:rsid w:val="0014659A"/>
    <w:rsid w:val="001517E5"/>
    <w:rsid w:val="00155A5A"/>
    <w:rsid w:val="00155E54"/>
    <w:rsid w:val="0016593A"/>
    <w:rsid w:val="00165AA7"/>
    <w:rsid w:val="00171080"/>
    <w:rsid w:val="00173E2B"/>
    <w:rsid w:val="00174968"/>
    <w:rsid w:val="00175DEC"/>
    <w:rsid w:val="001776AE"/>
    <w:rsid w:val="00180BC3"/>
    <w:rsid w:val="00181D40"/>
    <w:rsid w:val="001846B1"/>
    <w:rsid w:val="001850F2"/>
    <w:rsid w:val="00185FBF"/>
    <w:rsid w:val="001867EF"/>
    <w:rsid w:val="00187089"/>
    <w:rsid w:val="00191712"/>
    <w:rsid w:val="00191D5C"/>
    <w:rsid w:val="001923AF"/>
    <w:rsid w:val="00193FAA"/>
    <w:rsid w:val="00197044"/>
    <w:rsid w:val="001A43DF"/>
    <w:rsid w:val="001B4530"/>
    <w:rsid w:val="001B5B0F"/>
    <w:rsid w:val="001C0398"/>
    <w:rsid w:val="001C088A"/>
    <w:rsid w:val="001D0457"/>
    <w:rsid w:val="001D1CC5"/>
    <w:rsid w:val="001D4462"/>
    <w:rsid w:val="001D4CB5"/>
    <w:rsid w:val="001F099F"/>
    <w:rsid w:val="001F3494"/>
    <w:rsid w:val="001F3D30"/>
    <w:rsid w:val="00205CA3"/>
    <w:rsid w:val="00206194"/>
    <w:rsid w:val="00211876"/>
    <w:rsid w:val="00215747"/>
    <w:rsid w:val="00217102"/>
    <w:rsid w:val="00222F3B"/>
    <w:rsid w:val="002310AB"/>
    <w:rsid w:val="00231BB5"/>
    <w:rsid w:val="002345A6"/>
    <w:rsid w:val="00235684"/>
    <w:rsid w:val="002361FE"/>
    <w:rsid w:val="00236FCD"/>
    <w:rsid w:val="002436D7"/>
    <w:rsid w:val="002445E8"/>
    <w:rsid w:val="0025081A"/>
    <w:rsid w:val="0025587F"/>
    <w:rsid w:val="0026619A"/>
    <w:rsid w:val="00266E2F"/>
    <w:rsid w:val="00266F67"/>
    <w:rsid w:val="00270583"/>
    <w:rsid w:val="00272893"/>
    <w:rsid w:val="002757F8"/>
    <w:rsid w:val="002771BA"/>
    <w:rsid w:val="00287969"/>
    <w:rsid w:val="00290444"/>
    <w:rsid w:val="002A10B6"/>
    <w:rsid w:val="002A2D16"/>
    <w:rsid w:val="002A671A"/>
    <w:rsid w:val="002A7E46"/>
    <w:rsid w:val="002B02BA"/>
    <w:rsid w:val="002B1A27"/>
    <w:rsid w:val="002B2366"/>
    <w:rsid w:val="002B547B"/>
    <w:rsid w:val="002C2EF6"/>
    <w:rsid w:val="002C3161"/>
    <w:rsid w:val="002C478D"/>
    <w:rsid w:val="002C5B90"/>
    <w:rsid w:val="002C6786"/>
    <w:rsid w:val="002D04A6"/>
    <w:rsid w:val="002D4487"/>
    <w:rsid w:val="002D61E8"/>
    <w:rsid w:val="002D7D4F"/>
    <w:rsid w:val="002E29AA"/>
    <w:rsid w:val="002E3F2B"/>
    <w:rsid w:val="002E7B48"/>
    <w:rsid w:val="002F2B42"/>
    <w:rsid w:val="002F3FE5"/>
    <w:rsid w:val="0030619A"/>
    <w:rsid w:val="00307EBC"/>
    <w:rsid w:val="00316361"/>
    <w:rsid w:val="003239B7"/>
    <w:rsid w:val="00330C2C"/>
    <w:rsid w:val="00333BD8"/>
    <w:rsid w:val="00334EF9"/>
    <w:rsid w:val="003355D7"/>
    <w:rsid w:val="003376B6"/>
    <w:rsid w:val="003412DC"/>
    <w:rsid w:val="003457B8"/>
    <w:rsid w:val="00350B92"/>
    <w:rsid w:val="00351B8A"/>
    <w:rsid w:val="0035374C"/>
    <w:rsid w:val="00355A38"/>
    <w:rsid w:val="0036375C"/>
    <w:rsid w:val="0037052F"/>
    <w:rsid w:val="00372B91"/>
    <w:rsid w:val="00377EFE"/>
    <w:rsid w:val="00385C07"/>
    <w:rsid w:val="0039360F"/>
    <w:rsid w:val="0039497B"/>
    <w:rsid w:val="00394D74"/>
    <w:rsid w:val="00394FB8"/>
    <w:rsid w:val="003975B2"/>
    <w:rsid w:val="003A0DF2"/>
    <w:rsid w:val="003A3799"/>
    <w:rsid w:val="003A537D"/>
    <w:rsid w:val="003A604F"/>
    <w:rsid w:val="003B271F"/>
    <w:rsid w:val="003B380A"/>
    <w:rsid w:val="003B6C98"/>
    <w:rsid w:val="003C0691"/>
    <w:rsid w:val="003C42C3"/>
    <w:rsid w:val="003C50F5"/>
    <w:rsid w:val="003C6420"/>
    <w:rsid w:val="003D1772"/>
    <w:rsid w:val="003D18EF"/>
    <w:rsid w:val="003D1E6A"/>
    <w:rsid w:val="003D38CF"/>
    <w:rsid w:val="003D4FB9"/>
    <w:rsid w:val="003D67D4"/>
    <w:rsid w:val="003E3473"/>
    <w:rsid w:val="003E5EA6"/>
    <w:rsid w:val="003E7CC4"/>
    <w:rsid w:val="003F231B"/>
    <w:rsid w:val="003F2820"/>
    <w:rsid w:val="003F58D8"/>
    <w:rsid w:val="003F68B8"/>
    <w:rsid w:val="00400D48"/>
    <w:rsid w:val="0040769F"/>
    <w:rsid w:val="004106B3"/>
    <w:rsid w:val="0041093E"/>
    <w:rsid w:val="00410DBD"/>
    <w:rsid w:val="00414EF6"/>
    <w:rsid w:val="0042118F"/>
    <w:rsid w:val="00426313"/>
    <w:rsid w:val="0043285C"/>
    <w:rsid w:val="00441894"/>
    <w:rsid w:val="00447B63"/>
    <w:rsid w:val="0045657C"/>
    <w:rsid w:val="00463DAF"/>
    <w:rsid w:val="004646C5"/>
    <w:rsid w:val="004651BA"/>
    <w:rsid w:val="0046542E"/>
    <w:rsid w:val="004668A4"/>
    <w:rsid w:val="00471B26"/>
    <w:rsid w:val="00474355"/>
    <w:rsid w:val="0047523F"/>
    <w:rsid w:val="00477279"/>
    <w:rsid w:val="00480B90"/>
    <w:rsid w:val="00482FC6"/>
    <w:rsid w:val="00485A8D"/>
    <w:rsid w:val="00485D06"/>
    <w:rsid w:val="004877A6"/>
    <w:rsid w:val="00487A96"/>
    <w:rsid w:val="00492789"/>
    <w:rsid w:val="0049280C"/>
    <w:rsid w:val="004A3D90"/>
    <w:rsid w:val="004A6F23"/>
    <w:rsid w:val="004B0AFC"/>
    <w:rsid w:val="004B0D18"/>
    <w:rsid w:val="004B2FA3"/>
    <w:rsid w:val="004B3DA7"/>
    <w:rsid w:val="004C01FB"/>
    <w:rsid w:val="004C07DC"/>
    <w:rsid w:val="004C2D77"/>
    <w:rsid w:val="004C7A9E"/>
    <w:rsid w:val="004D0167"/>
    <w:rsid w:val="004D066C"/>
    <w:rsid w:val="004D175F"/>
    <w:rsid w:val="004D176A"/>
    <w:rsid w:val="004D2C21"/>
    <w:rsid w:val="004D5445"/>
    <w:rsid w:val="004E189C"/>
    <w:rsid w:val="004E3EEB"/>
    <w:rsid w:val="004E5547"/>
    <w:rsid w:val="004F56F4"/>
    <w:rsid w:val="0050075F"/>
    <w:rsid w:val="00503F95"/>
    <w:rsid w:val="00504AE6"/>
    <w:rsid w:val="00504F44"/>
    <w:rsid w:val="00511497"/>
    <w:rsid w:val="005118DF"/>
    <w:rsid w:val="00514612"/>
    <w:rsid w:val="0052324C"/>
    <w:rsid w:val="00524E64"/>
    <w:rsid w:val="00524FED"/>
    <w:rsid w:val="00531C25"/>
    <w:rsid w:val="00531D97"/>
    <w:rsid w:val="00541CD7"/>
    <w:rsid w:val="00542C34"/>
    <w:rsid w:val="00543B6F"/>
    <w:rsid w:val="0054457B"/>
    <w:rsid w:val="00553958"/>
    <w:rsid w:val="00556463"/>
    <w:rsid w:val="005619D9"/>
    <w:rsid w:val="00565C7A"/>
    <w:rsid w:val="00571DBF"/>
    <w:rsid w:val="00572E49"/>
    <w:rsid w:val="00573B9E"/>
    <w:rsid w:val="00574CD8"/>
    <w:rsid w:val="00574FBE"/>
    <w:rsid w:val="00575C40"/>
    <w:rsid w:val="00582E37"/>
    <w:rsid w:val="005921FA"/>
    <w:rsid w:val="00592FA0"/>
    <w:rsid w:val="005A1A3A"/>
    <w:rsid w:val="005A6BCF"/>
    <w:rsid w:val="005A7E25"/>
    <w:rsid w:val="005B55A8"/>
    <w:rsid w:val="005B7778"/>
    <w:rsid w:val="005C5057"/>
    <w:rsid w:val="005C5332"/>
    <w:rsid w:val="005D557F"/>
    <w:rsid w:val="005D7E83"/>
    <w:rsid w:val="005E0844"/>
    <w:rsid w:val="005E37CC"/>
    <w:rsid w:val="005E4DBF"/>
    <w:rsid w:val="005F4F49"/>
    <w:rsid w:val="005F7022"/>
    <w:rsid w:val="00601D1D"/>
    <w:rsid w:val="00603EC7"/>
    <w:rsid w:val="00605434"/>
    <w:rsid w:val="006068A9"/>
    <w:rsid w:val="00607C6A"/>
    <w:rsid w:val="00610262"/>
    <w:rsid w:val="00611357"/>
    <w:rsid w:val="00613836"/>
    <w:rsid w:val="0061642A"/>
    <w:rsid w:val="00616FE7"/>
    <w:rsid w:val="006202AA"/>
    <w:rsid w:val="00620E17"/>
    <w:rsid w:val="0062262A"/>
    <w:rsid w:val="00626F5B"/>
    <w:rsid w:val="006312D7"/>
    <w:rsid w:val="00631963"/>
    <w:rsid w:val="00643149"/>
    <w:rsid w:val="00644100"/>
    <w:rsid w:val="006504C2"/>
    <w:rsid w:val="00654998"/>
    <w:rsid w:val="00655D96"/>
    <w:rsid w:val="00660B60"/>
    <w:rsid w:val="0066287E"/>
    <w:rsid w:val="006650CE"/>
    <w:rsid w:val="00665BA3"/>
    <w:rsid w:val="00666774"/>
    <w:rsid w:val="006675BA"/>
    <w:rsid w:val="00680BFB"/>
    <w:rsid w:val="00680DB2"/>
    <w:rsid w:val="00684299"/>
    <w:rsid w:val="00685703"/>
    <w:rsid w:val="006858B0"/>
    <w:rsid w:val="00685A8C"/>
    <w:rsid w:val="00687E03"/>
    <w:rsid w:val="006904F2"/>
    <w:rsid w:val="00693719"/>
    <w:rsid w:val="006967D1"/>
    <w:rsid w:val="00696BE4"/>
    <w:rsid w:val="006A2730"/>
    <w:rsid w:val="006A47C7"/>
    <w:rsid w:val="006A5800"/>
    <w:rsid w:val="006A6BD2"/>
    <w:rsid w:val="006A722A"/>
    <w:rsid w:val="006B0496"/>
    <w:rsid w:val="006B537A"/>
    <w:rsid w:val="006B5E1A"/>
    <w:rsid w:val="006B608E"/>
    <w:rsid w:val="006B72B9"/>
    <w:rsid w:val="006C3AFF"/>
    <w:rsid w:val="006C45D0"/>
    <w:rsid w:val="006C78A0"/>
    <w:rsid w:val="006C7F2B"/>
    <w:rsid w:val="006D16AA"/>
    <w:rsid w:val="006D3A3F"/>
    <w:rsid w:val="006D4771"/>
    <w:rsid w:val="006D49C5"/>
    <w:rsid w:val="006E24E3"/>
    <w:rsid w:val="006E5961"/>
    <w:rsid w:val="006F65C6"/>
    <w:rsid w:val="00710998"/>
    <w:rsid w:val="007119D6"/>
    <w:rsid w:val="007157DA"/>
    <w:rsid w:val="00716C24"/>
    <w:rsid w:val="007172FC"/>
    <w:rsid w:val="007279A4"/>
    <w:rsid w:val="00731916"/>
    <w:rsid w:val="00734193"/>
    <w:rsid w:val="00734FB4"/>
    <w:rsid w:val="00736C25"/>
    <w:rsid w:val="0074018C"/>
    <w:rsid w:val="0074195A"/>
    <w:rsid w:val="00741B56"/>
    <w:rsid w:val="0074366B"/>
    <w:rsid w:val="00746BDE"/>
    <w:rsid w:val="00746FB8"/>
    <w:rsid w:val="00753069"/>
    <w:rsid w:val="007538C8"/>
    <w:rsid w:val="00766971"/>
    <w:rsid w:val="007679EB"/>
    <w:rsid w:val="00773614"/>
    <w:rsid w:val="0077635B"/>
    <w:rsid w:val="00780124"/>
    <w:rsid w:val="00781986"/>
    <w:rsid w:val="00784F57"/>
    <w:rsid w:val="007901A5"/>
    <w:rsid w:val="0079091F"/>
    <w:rsid w:val="00792652"/>
    <w:rsid w:val="00793098"/>
    <w:rsid w:val="00797905"/>
    <w:rsid w:val="007A0949"/>
    <w:rsid w:val="007A1CE4"/>
    <w:rsid w:val="007A3372"/>
    <w:rsid w:val="007A389C"/>
    <w:rsid w:val="007A70B8"/>
    <w:rsid w:val="007A7A0E"/>
    <w:rsid w:val="007B135D"/>
    <w:rsid w:val="007B5F93"/>
    <w:rsid w:val="007C014D"/>
    <w:rsid w:val="007C0745"/>
    <w:rsid w:val="007C1D8C"/>
    <w:rsid w:val="007D0060"/>
    <w:rsid w:val="007D1FB9"/>
    <w:rsid w:val="007D2202"/>
    <w:rsid w:val="007D5F26"/>
    <w:rsid w:val="007D7457"/>
    <w:rsid w:val="007E25AE"/>
    <w:rsid w:val="007E6763"/>
    <w:rsid w:val="007F0388"/>
    <w:rsid w:val="007F1640"/>
    <w:rsid w:val="007F30B0"/>
    <w:rsid w:val="007F343B"/>
    <w:rsid w:val="007F427B"/>
    <w:rsid w:val="007F6023"/>
    <w:rsid w:val="007F6803"/>
    <w:rsid w:val="00800D85"/>
    <w:rsid w:val="00802444"/>
    <w:rsid w:val="00802511"/>
    <w:rsid w:val="00802806"/>
    <w:rsid w:val="00804429"/>
    <w:rsid w:val="0080550B"/>
    <w:rsid w:val="00812215"/>
    <w:rsid w:val="008131A2"/>
    <w:rsid w:val="00813F0C"/>
    <w:rsid w:val="008205F9"/>
    <w:rsid w:val="008216AE"/>
    <w:rsid w:val="008242A9"/>
    <w:rsid w:val="00826D9A"/>
    <w:rsid w:val="008337AD"/>
    <w:rsid w:val="00835F32"/>
    <w:rsid w:val="008371EE"/>
    <w:rsid w:val="008423E4"/>
    <w:rsid w:val="008428F0"/>
    <w:rsid w:val="00842D63"/>
    <w:rsid w:val="00843FEF"/>
    <w:rsid w:val="008467F2"/>
    <w:rsid w:val="00846D71"/>
    <w:rsid w:val="0085036D"/>
    <w:rsid w:val="008514C4"/>
    <w:rsid w:val="00851C22"/>
    <w:rsid w:val="00852AF4"/>
    <w:rsid w:val="0085352E"/>
    <w:rsid w:val="00855D98"/>
    <w:rsid w:val="00856556"/>
    <w:rsid w:val="008576B4"/>
    <w:rsid w:val="00864421"/>
    <w:rsid w:val="00866684"/>
    <w:rsid w:val="00871E8A"/>
    <w:rsid w:val="00872AD8"/>
    <w:rsid w:val="00873249"/>
    <w:rsid w:val="00873596"/>
    <w:rsid w:val="00873883"/>
    <w:rsid w:val="00876A0C"/>
    <w:rsid w:val="00880E2C"/>
    <w:rsid w:val="00881836"/>
    <w:rsid w:val="0088655A"/>
    <w:rsid w:val="008918B0"/>
    <w:rsid w:val="0089494D"/>
    <w:rsid w:val="00896CEB"/>
    <w:rsid w:val="00897310"/>
    <w:rsid w:val="008A1639"/>
    <w:rsid w:val="008A769D"/>
    <w:rsid w:val="008C6F76"/>
    <w:rsid w:val="008D33C2"/>
    <w:rsid w:val="008D5398"/>
    <w:rsid w:val="008E268F"/>
    <w:rsid w:val="008E5F4A"/>
    <w:rsid w:val="008E6E08"/>
    <w:rsid w:val="008F11CA"/>
    <w:rsid w:val="008F53C0"/>
    <w:rsid w:val="008F7618"/>
    <w:rsid w:val="009015B2"/>
    <w:rsid w:val="0090225D"/>
    <w:rsid w:val="009028F9"/>
    <w:rsid w:val="00902B69"/>
    <w:rsid w:val="00904863"/>
    <w:rsid w:val="00915612"/>
    <w:rsid w:val="009169EB"/>
    <w:rsid w:val="00916F5E"/>
    <w:rsid w:val="00923EDE"/>
    <w:rsid w:val="00924237"/>
    <w:rsid w:val="0092719C"/>
    <w:rsid w:val="0093124E"/>
    <w:rsid w:val="00932958"/>
    <w:rsid w:val="0093301B"/>
    <w:rsid w:val="0093322A"/>
    <w:rsid w:val="00937EA1"/>
    <w:rsid w:val="00951933"/>
    <w:rsid w:val="009535BF"/>
    <w:rsid w:val="00954A67"/>
    <w:rsid w:val="00955341"/>
    <w:rsid w:val="00960C3A"/>
    <w:rsid w:val="00961700"/>
    <w:rsid w:val="00972006"/>
    <w:rsid w:val="00976272"/>
    <w:rsid w:val="00976573"/>
    <w:rsid w:val="009800B2"/>
    <w:rsid w:val="00985D39"/>
    <w:rsid w:val="00986AF3"/>
    <w:rsid w:val="009A12E9"/>
    <w:rsid w:val="009A42FE"/>
    <w:rsid w:val="009A7982"/>
    <w:rsid w:val="009B0A0D"/>
    <w:rsid w:val="009B442F"/>
    <w:rsid w:val="009B75A0"/>
    <w:rsid w:val="009B7B11"/>
    <w:rsid w:val="009C11FB"/>
    <w:rsid w:val="009C1E66"/>
    <w:rsid w:val="009C75E1"/>
    <w:rsid w:val="009D0560"/>
    <w:rsid w:val="009D162B"/>
    <w:rsid w:val="009D2494"/>
    <w:rsid w:val="009D293E"/>
    <w:rsid w:val="009D2FDB"/>
    <w:rsid w:val="009D7A12"/>
    <w:rsid w:val="009E0B74"/>
    <w:rsid w:val="009E481D"/>
    <w:rsid w:val="009E4A66"/>
    <w:rsid w:val="009F0233"/>
    <w:rsid w:val="009F0E0C"/>
    <w:rsid w:val="009F1A8C"/>
    <w:rsid w:val="009F63B1"/>
    <w:rsid w:val="009F797B"/>
    <w:rsid w:val="00A02FE6"/>
    <w:rsid w:val="00A03039"/>
    <w:rsid w:val="00A04791"/>
    <w:rsid w:val="00A0759B"/>
    <w:rsid w:val="00A07847"/>
    <w:rsid w:val="00A10969"/>
    <w:rsid w:val="00A10E09"/>
    <w:rsid w:val="00A13BCF"/>
    <w:rsid w:val="00A25353"/>
    <w:rsid w:val="00A25992"/>
    <w:rsid w:val="00A30357"/>
    <w:rsid w:val="00A31810"/>
    <w:rsid w:val="00A32290"/>
    <w:rsid w:val="00A32440"/>
    <w:rsid w:val="00A332A4"/>
    <w:rsid w:val="00A34A54"/>
    <w:rsid w:val="00A360C1"/>
    <w:rsid w:val="00A36F8F"/>
    <w:rsid w:val="00A43F70"/>
    <w:rsid w:val="00A44ABC"/>
    <w:rsid w:val="00A47397"/>
    <w:rsid w:val="00A4740F"/>
    <w:rsid w:val="00A50814"/>
    <w:rsid w:val="00A526BE"/>
    <w:rsid w:val="00A552B6"/>
    <w:rsid w:val="00A55FE7"/>
    <w:rsid w:val="00A619A2"/>
    <w:rsid w:val="00A6663F"/>
    <w:rsid w:val="00A6677B"/>
    <w:rsid w:val="00A72C0F"/>
    <w:rsid w:val="00A73C01"/>
    <w:rsid w:val="00A77A4A"/>
    <w:rsid w:val="00A830F7"/>
    <w:rsid w:val="00A84D60"/>
    <w:rsid w:val="00A902B6"/>
    <w:rsid w:val="00A91532"/>
    <w:rsid w:val="00A96D42"/>
    <w:rsid w:val="00A97395"/>
    <w:rsid w:val="00AA0968"/>
    <w:rsid w:val="00AA0B87"/>
    <w:rsid w:val="00AA61A8"/>
    <w:rsid w:val="00AA7D61"/>
    <w:rsid w:val="00AA7E3C"/>
    <w:rsid w:val="00AB08A6"/>
    <w:rsid w:val="00AB29A7"/>
    <w:rsid w:val="00AB487C"/>
    <w:rsid w:val="00AC01C6"/>
    <w:rsid w:val="00AC15F4"/>
    <w:rsid w:val="00AC42F2"/>
    <w:rsid w:val="00AD0AFD"/>
    <w:rsid w:val="00AD2869"/>
    <w:rsid w:val="00AD46B8"/>
    <w:rsid w:val="00AD4AE0"/>
    <w:rsid w:val="00AD5BD4"/>
    <w:rsid w:val="00AE0A96"/>
    <w:rsid w:val="00AE1236"/>
    <w:rsid w:val="00AE13B9"/>
    <w:rsid w:val="00AE4A67"/>
    <w:rsid w:val="00AE5150"/>
    <w:rsid w:val="00AE5331"/>
    <w:rsid w:val="00AF49F7"/>
    <w:rsid w:val="00B01986"/>
    <w:rsid w:val="00B01A7B"/>
    <w:rsid w:val="00B0222D"/>
    <w:rsid w:val="00B06C9E"/>
    <w:rsid w:val="00B10931"/>
    <w:rsid w:val="00B12F2E"/>
    <w:rsid w:val="00B14D97"/>
    <w:rsid w:val="00B1633C"/>
    <w:rsid w:val="00B21444"/>
    <w:rsid w:val="00B215EA"/>
    <w:rsid w:val="00B25498"/>
    <w:rsid w:val="00B257CE"/>
    <w:rsid w:val="00B317DF"/>
    <w:rsid w:val="00B42ABE"/>
    <w:rsid w:val="00B43CCB"/>
    <w:rsid w:val="00B50113"/>
    <w:rsid w:val="00B5081C"/>
    <w:rsid w:val="00B5567E"/>
    <w:rsid w:val="00B57A25"/>
    <w:rsid w:val="00B6354E"/>
    <w:rsid w:val="00B64491"/>
    <w:rsid w:val="00B661B6"/>
    <w:rsid w:val="00B71BC5"/>
    <w:rsid w:val="00B71BC9"/>
    <w:rsid w:val="00B74CFE"/>
    <w:rsid w:val="00B74E96"/>
    <w:rsid w:val="00B77065"/>
    <w:rsid w:val="00B811B5"/>
    <w:rsid w:val="00B81AF8"/>
    <w:rsid w:val="00B82DB4"/>
    <w:rsid w:val="00B8413E"/>
    <w:rsid w:val="00B858F2"/>
    <w:rsid w:val="00B906F1"/>
    <w:rsid w:val="00B96F1F"/>
    <w:rsid w:val="00BA125B"/>
    <w:rsid w:val="00BA1B01"/>
    <w:rsid w:val="00BA3450"/>
    <w:rsid w:val="00BA365B"/>
    <w:rsid w:val="00BB1B21"/>
    <w:rsid w:val="00BB2A41"/>
    <w:rsid w:val="00BB6592"/>
    <w:rsid w:val="00BB7B98"/>
    <w:rsid w:val="00BC00A2"/>
    <w:rsid w:val="00BC0329"/>
    <w:rsid w:val="00BC6FCC"/>
    <w:rsid w:val="00BD139F"/>
    <w:rsid w:val="00BD2203"/>
    <w:rsid w:val="00BD2D13"/>
    <w:rsid w:val="00BD50AC"/>
    <w:rsid w:val="00BD6968"/>
    <w:rsid w:val="00BE045A"/>
    <w:rsid w:val="00BF1A11"/>
    <w:rsid w:val="00BF571D"/>
    <w:rsid w:val="00BF685F"/>
    <w:rsid w:val="00C0042D"/>
    <w:rsid w:val="00C00507"/>
    <w:rsid w:val="00C034A0"/>
    <w:rsid w:val="00C036E3"/>
    <w:rsid w:val="00C07543"/>
    <w:rsid w:val="00C07A5E"/>
    <w:rsid w:val="00C10D51"/>
    <w:rsid w:val="00C113A8"/>
    <w:rsid w:val="00C115E9"/>
    <w:rsid w:val="00C11B2D"/>
    <w:rsid w:val="00C11C21"/>
    <w:rsid w:val="00C20FD4"/>
    <w:rsid w:val="00C22DFC"/>
    <w:rsid w:val="00C22E93"/>
    <w:rsid w:val="00C267F8"/>
    <w:rsid w:val="00C274AE"/>
    <w:rsid w:val="00C41683"/>
    <w:rsid w:val="00C41B81"/>
    <w:rsid w:val="00C41C5B"/>
    <w:rsid w:val="00C51BD5"/>
    <w:rsid w:val="00C549CC"/>
    <w:rsid w:val="00C54AF3"/>
    <w:rsid w:val="00C62048"/>
    <w:rsid w:val="00C62353"/>
    <w:rsid w:val="00C673E6"/>
    <w:rsid w:val="00C67B54"/>
    <w:rsid w:val="00C72612"/>
    <w:rsid w:val="00C74913"/>
    <w:rsid w:val="00C80046"/>
    <w:rsid w:val="00C8331B"/>
    <w:rsid w:val="00C83DDD"/>
    <w:rsid w:val="00C8598B"/>
    <w:rsid w:val="00C8689B"/>
    <w:rsid w:val="00C90915"/>
    <w:rsid w:val="00C93F7D"/>
    <w:rsid w:val="00C96E21"/>
    <w:rsid w:val="00C97C16"/>
    <w:rsid w:val="00CA14D9"/>
    <w:rsid w:val="00CA1655"/>
    <w:rsid w:val="00CA3BA3"/>
    <w:rsid w:val="00CA4561"/>
    <w:rsid w:val="00CA6799"/>
    <w:rsid w:val="00CA7D3E"/>
    <w:rsid w:val="00CB1DC3"/>
    <w:rsid w:val="00CB4110"/>
    <w:rsid w:val="00CB4FF1"/>
    <w:rsid w:val="00CB7040"/>
    <w:rsid w:val="00CC30D9"/>
    <w:rsid w:val="00CC3C50"/>
    <w:rsid w:val="00CC6D74"/>
    <w:rsid w:val="00CD0D80"/>
    <w:rsid w:val="00CD17B9"/>
    <w:rsid w:val="00CD6483"/>
    <w:rsid w:val="00CE0319"/>
    <w:rsid w:val="00CE0BA4"/>
    <w:rsid w:val="00CE0F51"/>
    <w:rsid w:val="00CE38B9"/>
    <w:rsid w:val="00CE3C5C"/>
    <w:rsid w:val="00CE7D17"/>
    <w:rsid w:val="00CF05D4"/>
    <w:rsid w:val="00CF0A38"/>
    <w:rsid w:val="00CF738B"/>
    <w:rsid w:val="00D0338F"/>
    <w:rsid w:val="00D034CB"/>
    <w:rsid w:val="00D10620"/>
    <w:rsid w:val="00D115B2"/>
    <w:rsid w:val="00D13F2F"/>
    <w:rsid w:val="00D2063A"/>
    <w:rsid w:val="00D259D5"/>
    <w:rsid w:val="00D361AA"/>
    <w:rsid w:val="00D379A1"/>
    <w:rsid w:val="00D44EC8"/>
    <w:rsid w:val="00D47381"/>
    <w:rsid w:val="00D47FAE"/>
    <w:rsid w:val="00D55564"/>
    <w:rsid w:val="00D65677"/>
    <w:rsid w:val="00D66C2A"/>
    <w:rsid w:val="00D67E32"/>
    <w:rsid w:val="00D72168"/>
    <w:rsid w:val="00D73E49"/>
    <w:rsid w:val="00D74D7E"/>
    <w:rsid w:val="00D75095"/>
    <w:rsid w:val="00D756F7"/>
    <w:rsid w:val="00D770B6"/>
    <w:rsid w:val="00D85541"/>
    <w:rsid w:val="00D85A55"/>
    <w:rsid w:val="00D9199C"/>
    <w:rsid w:val="00D93BA2"/>
    <w:rsid w:val="00D94819"/>
    <w:rsid w:val="00D9601C"/>
    <w:rsid w:val="00D96971"/>
    <w:rsid w:val="00DA15D4"/>
    <w:rsid w:val="00DA1BFB"/>
    <w:rsid w:val="00DA2F56"/>
    <w:rsid w:val="00DA62B7"/>
    <w:rsid w:val="00DA6BA9"/>
    <w:rsid w:val="00DB2105"/>
    <w:rsid w:val="00DB2C9B"/>
    <w:rsid w:val="00DB5526"/>
    <w:rsid w:val="00DB6B59"/>
    <w:rsid w:val="00DB70A7"/>
    <w:rsid w:val="00DC2EBD"/>
    <w:rsid w:val="00DC35A2"/>
    <w:rsid w:val="00DD1FCD"/>
    <w:rsid w:val="00DD45AD"/>
    <w:rsid w:val="00DE1410"/>
    <w:rsid w:val="00DE1B60"/>
    <w:rsid w:val="00DE2523"/>
    <w:rsid w:val="00DF2077"/>
    <w:rsid w:val="00DF67E5"/>
    <w:rsid w:val="00E02E9D"/>
    <w:rsid w:val="00E032C2"/>
    <w:rsid w:val="00E052E7"/>
    <w:rsid w:val="00E10587"/>
    <w:rsid w:val="00E11F02"/>
    <w:rsid w:val="00E21E3C"/>
    <w:rsid w:val="00E274A8"/>
    <w:rsid w:val="00E31EA0"/>
    <w:rsid w:val="00E35D32"/>
    <w:rsid w:val="00E36624"/>
    <w:rsid w:val="00E4064D"/>
    <w:rsid w:val="00E41061"/>
    <w:rsid w:val="00E41A0B"/>
    <w:rsid w:val="00E46745"/>
    <w:rsid w:val="00E51BF9"/>
    <w:rsid w:val="00E523DB"/>
    <w:rsid w:val="00E56DF1"/>
    <w:rsid w:val="00E70B0F"/>
    <w:rsid w:val="00E74886"/>
    <w:rsid w:val="00E756E6"/>
    <w:rsid w:val="00E805D5"/>
    <w:rsid w:val="00E807E0"/>
    <w:rsid w:val="00E822CB"/>
    <w:rsid w:val="00E86231"/>
    <w:rsid w:val="00E903C0"/>
    <w:rsid w:val="00E904D2"/>
    <w:rsid w:val="00E918D7"/>
    <w:rsid w:val="00E92F71"/>
    <w:rsid w:val="00E93740"/>
    <w:rsid w:val="00E9542C"/>
    <w:rsid w:val="00E9563D"/>
    <w:rsid w:val="00E95D4E"/>
    <w:rsid w:val="00E963C6"/>
    <w:rsid w:val="00EA0808"/>
    <w:rsid w:val="00EA2681"/>
    <w:rsid w:val="00EA3903"/>
    <w:rsid w:val="00EA4858"/>
    <w:rsid w:val="00EA67F4"/>
    <w:rsid w:val="00EA6B11"/>
    <w:rsid w:val="00EB634A"/>
    <w:rsid w:val="00EC01DF"/>
    <w:rsid w:val="00EC567C"/>
    <w:rsid w:val="00ED4443"/>
    <w:rsid w:val="00ED671B"/>
    <w:rsid w:val="00EE1441"/>
    <w:rsid w:val="00EE3B79"/>
    <w:rsid w:val="00EE6AF8"/>
    <w:rsid w:val="00EE6EF3"/>
    <w:rsid w:val="00EE7201"/>
    <w:rsid w:val="00EE7E96"/>
    <w:rsid w:val="00EF156F"/>
    <w:rsid w:val="00EF3510"/>
    <w:rsid w:val="00EF4C2E"/>
    <w:rsid w:val="00EF57BA"/>
    <w:rsid w:val="00EF5A8E"/>
    <w:rsid w:val="00EF60D7"/>
    <w:rsid w:val="00F0069F"/>
    <w:rsid w:val="00F020EC"/>
    <w:rsid w:val="00F0246B"/>
    <w:rsid w:val="00F02760"/>
    <w:rsid w:val="00F03975"/>
    <w:rsid w:val="00F128F8"/>
    <w:rsid w:val="00F13AAB"/>
    <w:rsid w:val="00F13B12"/>
    <w:rsid w:val="00F13EA3"/>
    <w:rsid w:val="00F1640D"/>
    <w:rsid w:val="00F16617"/>
    <w:rsid w:val="00F16DA6"/>
    <w:rsid w:val="00F20100"/>
    <w:rsid w:val="00F2255D"/>
    <w:rsid w:val="00F31116"/>
    <w:rsid w:val="00F3169D"/>
    <w:rsid w:val="00F32609"/>
    <w:rsid w:val="00F32C76"/>
    <w:rsid w:val="00F33268"/>
    <w:rsid w:val="00F34DBE"/>
    <w:rsid w:val="00F3607F"/>
    <w:rsid w:val="00F419B3"/>
    <w:rsid w:val="00F472A0"/>
    <w:rsid w:val="00F4787A"/>
    <w:rsid w:val="00F47C1E"/>
    <w:rsid w:val="00F526F2"/>
    <w:rsid w:val="00F56A8B"/>
    <w:rsid w:val="00F62E0E"/>
    <w:rsid w:val="00F63636"/>
    <w:rsid w:val="00F65949"/>
    <w:rsid w:val="00F67697"/>
    <w:rsid w:val="00F678D2"/>
    <w:rsid w:val="00F711AB"/>
    <w:rsid w:val="00F72B5C"/>
    <w:rsid w:val="00F81879"/>
    <w:rsid w:val="00F81EA6"/>
    <w:rsid w:val="00F82AE3"/>
    <w:rsid w:val="00F873E6"/>
    <w:rsid w:val="00F91123"/>
    <w:rsid w:val="00F9394C"/>
    <w:rsid w:val="00F95545"/>
    <w:rsid w:val="00F972E6"/>
    <w:rsid w:val="00FB5419"/>
    <w:rsid w:val="00FB6203"/>
    <w:rsid w:val="00FC177E"/>
    <w:rsid w:val="00FC2E08"/>
    <w:rsid w:val="00FC337D"/>
    <w:rsid w:val="00FC3A66"/>
    <w:rsid w:val="00FD6F68"/>
    <w:rsid w:val="00FD6F90"/>
    <w:rsid w:val="00FE175D"/>
    <w:rsid w:val="00FE1F7D"/>
    <w:rsid w:val="00FE2AB9"/>
    <w:rsid w:val="00FE3E9B"/>
    <w:rsid w:val="00FE57C1"/>
    <w:rsid w:val="00FE591F"/>
    <w:rsid w:val="00FE632D"/>
    <w:rsid w:val="00FE6BA2"/>
    <w:rsid w:val="00FF110A"/>
    <w:rsid w:val="00FF397F"/>
    <w:rsid w:val="020A2789"/>
    <w:rsid w:val="02B3AF7B"/>
    <w:rsid w:val="05ADA77F"/>
    <w:rsid w:val="05B37CAC"/>
    <w:rsid w:val="0BE5BB46"/>
    <w:rsid w:val="105F1806"/>
    <w:rsid w:val="1163C36A"/>
    <w:rsid w:val="12248185"/>
    <w:rsid w:val="12A23E67"/>
    <w:rsid w:val="199717E5"/>
    <w:rsid w:val="1B1EE8B4"/>
    <w:rsid w:val="1BBBF962"/>
    <w:rsid w:val="1CDEE4F0"/>
    <w:rsid w:val="20E32498"/>
    <w:rsid w:val="223D1C0A"/>
    <w:rsid w:val="237FEA2D"/>
    <w:rsid w:val="244BDD2A"/>
    <w:rsid w:val="24D3AF8A"/>
    <w:rsid w:val="279C402B"/>
    <w:rsid w:val="296C0BA6"/>
    <w:rsid w:val="2DA4F6BB"/>
    <w:rsid w:val="30E4C9FA"/>
    <w:rsid w:val="3562DB69"/>
    <w:rsid w:val="356A9A79"/>
    <w:rsid w:val="35F8A347"/>
    <w:rsid w:val="36054654"/>
    <w:rsid w:val="3ACAD489"/>
    <w:rsid w:val="3BDD0EAD"/>
    <w:rsid w:val="3DFF9595"/>
    <w:rsid w:val="3E8C057C"/>
    <w:rsid w:val="416426BE"/>
    <w:rsid w:val="43D65A3A"/>
    <w:rsid w:val="440E0E5E"/>
    <w:rsid w:val="499BB318"/>
    <w:rsid w:val="4A2AD132"/>
    <w:rsid w:val="4A8531C3"/>
    <w:rsid w:val="4B853695"/>
    <w:rsid w:val="50DC839E"/>
    <w:rsid w:val="57DF4BBB"/>
    <w:rsid w:val="58909A87"/>
    <w:rsid w:val="5A2080E6"/>
    <w:rsid w:val="5D74F0CA"/>
    <w:rsid w:val="5DAEBA57"/>
    <w:rsid w:val="5E5952A8"/>
    <w:rsid w:val="5F245E2B"/>
    <w:rsid w:val="5F8308C5"/>
    <w:rsid w:val="6042A8C7"/>
    <w:rsid w:val="64A3964B"/>
    <w:rsid w:val="650737BD"/>
    <w:rsid w:val="658D5940"/>
    <w:rsid w:val="65CBEE47"/>
    <w:rsid w:val="66399D13"/>
    <w:rsid w:val="663E579B"/>
    <w:rsid w:val="66F2C99B"/>
    <w:rsid w:val="6725B59E"/>
    <w:rsid w:val="67FA3148"/>
    <w:rsid w:val="68718A54"/>
    <w:rsid w:val="6B665B67"/>
    <w:rsid w:val="6BE291E2"/>
    <w:rsid w:val="6CEED6DF"/>
    <w:rsid w:val="6EA48A62"/>
    <w:rsid w:val="6EBF44DD"/>
    <w:rsid w:val="70385B5C"/>
    <w:rsid w:val="71E167D4"/>
    <w:rsid w:val="72997CE6"/>
    <w:rsid w:val="75809217"/>
    <w:rsid w:val="7898BB15"/>
    <w:rsid w:val="78D2E55D"/>
    <w:rsid w:val="7CB44C24"/>
    <w:rsid w:val="7CD38D07"/>
    <w:rsid w:val="7EEE7894"/>
    <w:rsid w:val="7F3EE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48270"/>
  <w15:chartTrackingRefBased/>
  <w15:docId w15:val="{E814ABF7-133C-4C55-A46A-B286FD5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24E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9D7A12"/>
    <w:pPr>
      <w:spacing w:after="150" w:line="240" w:lineRule="auto"/>
      <w:outlineLvl w:val="1"/>
    </w:pPr>
    <w:rPr>
      <w:rFonts w:ascii="Arial" w:eastAsiaTheme="minorHAnsi" w:hAnsi="Arial" w:cs="Arial"/>
      <w:b/>
      <w:bCs/>
      <w:color w:val="30303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7A12"/>
    <w:rPr>
      <w:rFonts w:ascii="Arial" w:hAnsi="Arial" w:cs="Arial"/>
      <w:b/>
      <w:bCs/>
      <w:color w:val="303030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9D7A12"/>
    <w:rPr>
      <w:color w:val="F49100" w:themeColor="hyperlink"/>
      <w:u w:val="single"/>
    </w:rPr>
  </w:style>
  <w:style w:type="character" w:styleId="Strong">
    <w:name w:val="Strong"/>
    <w:basedOn w:val="DefaultParagraphFont"/>
    <w:uiPriority w:val="22"/>
    <w:qFormat/>
    <w:rsid w:val="009D7A12"/>
    <w:rPr>
      <w:b/>
      <w:bCs/>
    </w:rPr>
  </w:style>
  <w:style w:type="character" w:styleId="Emphasis">
    <w:name w:val="Emphasis"/>
    <w:basedOn w:val="DefaultParagraphFont"/>
    <w:uiPriority w:val="20"/>
    <w:qFormat/>
    <w:rsid w:val="009D7A12"/>
    <w:rPr>
      <w:i/>
      <w:iCs/>
    </w:rPr>
  </w:style>
  <w:style w:type="paragraph" w:customStyle="1" w:styleId="xmsolistparagraph">
    <w:name w:val="x_msolistparagraph"/>
    <w:basedOn w:val="Normal"/>
    <w:rsid w:val="003B6C98"/>
    <w:pPr>
      <w:spacing w:line="252" w:lineRule="auto"/>
      <w:ind w:left="720"/>
    </w:pPr>
    <w:rPr>
      <w:rFonts w:eastAsiaTheme="minorHAns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7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2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2F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72FC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D2D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A6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ED4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D4443"/>
  </w:style>
  <w:style w:type="character" w:customStyle="1" w:styleId="eop">
    <w:name w:val="eop"/>
    <w:basedOn w:val="DefaultParagraphFont"/>
    <w:rsid w:val="00ED4443"/>
  </w:style>
  <w:style w:type="paragraph" w:styleId="Title">
    <w:name w:val="Title"/>
    <w:basedOn w:val="Normal"/>
    <w:next w:val="Normal"/>
    <w:link w:val="TitleChar"/>
    <w:uiPriority w:val="10"/>
    <w:qFormat/>
    <w:rsid w:val="00145501"/>
    <w:pPr>
      <w:spacing w:after="0" w:line="240" w:lineRule="auto"/>
      <w:contextualSpacing/>
      <w:jc w:val="right"/>
    </w:pPr>
    <w:rPr>
      <w:rFonts w:asciiTheme="minorHAnsi" w:eastAsiaTheme="majorEastAsia" w:hAnsiTheme="minorHAnsi" w:cstheme="majorBidi"/>
      <w:b/>
      <w:color w:val="FFFFFF" w:themeColor="background1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501"/>
    <w:rPr>
      <w:rFonts w:eastAsiaTheme="majorEastAsia" w:cstheme="majorBidi"/>
      <w:b/>
      <w:color w:val="FFFFFF" w:themeColor="background1"/>
      <w:spacing w:val="-10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501"/>
    <w:pPr>
      <w:numPr>
        <w:ilvl w:val="1"/>
      </w:numPr>
    </w:pPr>
    <w:rPr>
      <w:rFonts w:asciiTheme="minorHAnsi" w:eastAsiaTheme="minorEastAsia" w:hAnsiTheme="minorHAnsi" w:cstheme="minorBidi"/>
      <w:b/>
      <w:color w:val="D9D9D9" w:themeColor="background1" w:themeShade="D9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45501"/>
    <w:rPr>
      <w:rFonts w:eastAsiaTheme="minorEastAsia"/>
      <w:b/>
      <w:color w:val="D9D9D9" w:themeColor="background1" w:themeShade="D9"/>
      <w:spacing w:val="1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777F6-F1E4-40C0-B4C4-FF938DBAE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D66EB-336F-4EEC-936E-8A7DB8635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62EC9-94FC-481D-8040-0869C5ADC449}">
  <ds:schemaRefs>
    <ds:schemaRef ds:uri="http://schemas.microsoft.com/office/2006/metadata/properties"/>
    <ds:schemaRef ds:uri="http://schemas.microsoft.com/office/infopath/2007/PartnerControls"/>
    <ds:schemaRef ds:uri="e28edf13-f623-4bcb-af2f-300376b380e3"/>
    <ds:schemaRef ds:uri="5772d226-fb2a-4ee0-bab6-ec3129ec478f"/>
  </ds:schemaRefs>
</ds:datastoreItem>
</file>

<file path=customXml/itemProps4.xml><?xml version="1.0" encoding="utf-8"?>
<ds:datastoreItem xmlns:ds="http://schemas.openxmlformats.org/officeDocument/2006/customXml" ds:itemID="{921FB63A-7740-4074-80BE-BE5672FF9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Belfast Metropolitan College Audit and Risk Assurance Committee</dc:title>
  <dc:subject/>
  <dc:creator>Ronan Moran (RMoran)</dc:creator>
  <cp:keywords/>
  <dc:description/>
  <cp:lastModifiedBy>Jim Woods (JWoods)</cp:lastModifiedBy>
  <cp:revision>2</cp:revision>
  <dcterms:created xsi:type="dcterms:W3CDTF">2025-04-09T12:49:00Z</dcterms:created>
  <dcterms:modified xsi:type="dcterms:W3CDTF">2025-04-09T12:49:00Z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0x0101009072DEA6764A5E469BCA557C9C5B9428</vt:lpwstr>
  </property>
  <property fmtid="{D5CDD505-2E9C-101B-9397-08002B2CF9AE}" pid="3" name="MediaServiceImageTags">
    <vt:lpwstr/>
  </property>
</Properties>
</file>