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5614A" w14:textId="55559039" w:rsidR="0093124E" w:rsidRDefault="0093124E" w:rsidP="0088655A">
      <w:pPr>
        <w:tabs>
          <w:tab w:val="left" w:pos="7965"/>
        </w:tabs>
      </w:pPr>
    </w:p>
    <w:sdt>
      <w:sdtPr>
        <w:id w:val="-87543873"/>
        <w:docPartObj>
          <w:docPartGallery w:val="Cover Pages"/>
          <w:docPartUnique/>
        </w:docPartObj>
      </w:sdtPr>
      <w:sdtContent>
        <w:p w14:paraId="185B3154" w14:textId="01EC9498" w:rsidR="001C088A" w:rsidRDefault="001C088A" w:rsidP="00CB4FF1">
          <w:pPr>
            <w:tabs>
              <w:tab w:val="left" w:pos="7965"/>
            </w:tabs>
          </w:pPr>
        </w:p>
        <w:p w14:paraId="36E4D59A" w14:textId="77777777" w:rsidR="001C088A" w:rsidRDefault="001C088A" w:rsidP="00CB4FF1">
          <w:pPr>
            <w:tabs>
              <w:tab w:val="left" w:pos="7965"/>
            </w:tabs>
          </w:pPr>
        </w:p>
        <w:tbl>
          <w:tblPr>
            <w:tblStyle w:val="TableGrid"/>
            <w:tblW w:w="9493" w:type="dxa"/>
            <w:tblLook w:val="04A0" w:firstRow="1" w:lastRow="0" w:firstColumn="1" w:lastColumn="0" w:noHBand="0" w:noVBand="1"/>
          </w:tblPr>
          <w:tblGrid>
            <w:gridCol w:w="757"/>
            <w:gridCol w:w="8736"/>
          </w:tblGrid>
          <w:tr w:rsidR="00AA618D" w14:paraId="31D67B46" w14:textId="57C5464D" w:rsidTr="0062261A">
            <w:trPr>
              <w:trHeight w:val="675"/>
            </w:trPr>
            <w:tc>
              <w:tcPr>
                <w:tcW w:w="9493" w:type="dxa"/>
                <w:gridSpan w:val="2"/>
                <w:shd w:val="clear" w:color="auto" w:fill="4389D7" w:themeFill="text2" w:themeFillTint="99"/>
              </w:tcPr>
              <w:p w14:paraId="393142A5" w14:textId="61D499ED" w:rsidR="00AA618D" w:rsidRPr="00124151" w:rsidRDefault="00AA618D" w:rsidP="003A361F">
                <w:pPr>
                  <w:rPr>
                    <w:b/>
                  </w:rPr>
                </w:pPr>
                <w:r w:rsidRPr="00124151">
                  <w:rPr>
                    <w:b/>
                  </w:rPr>
                  <w:t xml:space="preserve">Belfast Metropolitan College Audit and Risk </w:t>
                </w:r>
                <w:r w:rsidR="00642958">
                  <w:rPr>
                    <w:b/>
                  </w:rPr>
                  <w:t xml:space="preserve">Assurance </w:t>
                </w:r>
                <w:r w:rsidRPr="00124151">
                  <w:rPr>
                    <w:b/>
                  </w:rPr>
                  <w:t>Committee 3.00pm Tuesday 1</w:t>
                </w:r>
                <w:r w:rsidR="00C87FF4">
                  <w:rPr>
                    <w:b/>
                  </w:rPr>
                  <w:t>2</w:t>
                </w:r>
                <w:r w:rsidRPr="00124151">
                  <w:rPr>
                    <w:b/>
                  </w:rPr>
                  <w:t xml:space="preserve"> March 2024 at Titanic Quarter Board Room and</w:t>
                </w:r>
                <w:r w:rsidRPr="00124151">
                  <w:rPr>
                    <w:b/>
                    <w:color w:val="FF0000"/>
                  </w:rPr>
                  <w:t xml:space="preserve"> </w:t>
                </w:r>
                <w:r w:rsidRPr="00124151">
                  <w:rPr>
                    <w:b/>
                  </w:rPr>
                  <w:t xml:space="preserve">via Microsoft Teams Chair’s </w:t>
                </w:r>
                <w:r>
                  <w:rPr>
                    <w:b/>
                  </w:rPr>
                  <w:t xml:space="preserve">Minutes </w:t>
                </w:r>
                <w:r w:rsidR="008A4619">
                  <w:rPr>
                    <w:b/>
                    <w:color w:val="FF0000"/>
                  </w:rPr>
                  <w:t>(Approved 11</w:t>
                </w:r>
                <w:r w:rsidR="0047128B" w:rsidRPr="0047128B">
                  <w:rPr>
                    <w:b/>
                    <w:color w:val="FF0000"/>
                  </w:rPr>
                  <w:t xml:space="preserve"> June 24</w:t>
                </w:r>
                <w:r w:rsidR="0047128B">
                  <w:rPr>
                    <w:b/>
                    <w:color w:val="FF0000"/>
                  </w:rPr>
                  <w:t>)</w:t>
                </w:r>
              </w:p>
            </w:tc>
          </w:tr>
          <w:tr w:rsidR="00AA618D" w14:paraId="626F73E4" w14:textId="5EEB7AE5" w:rsidTr="0062261A">
            <w:tc>
              <w:tcPr>
                <w:tcW w:w="9493" w:type="dxa"/>
                <w:gridSpan w:val="2"/>
              </w:tcPr>
              <w:p w14:paraId="0C440346" w14:textId="797502C3" w:rsidR="00AA618D" w:rsidRPr="00124151" w:rsidRDefault="00AA618D" w:rsidP="003A361F">
                <w:pPr>
                  <w:rPr>
                    <w:b/>
                  </w:rPr>
                </w:pPr>
                <w:r w:rsidRPr="00124151">
                  <w:rPr>
                    <w:b/>
                  </w:rPr>
                  <w:t xml:space="preserve">Committee Members:  </w:t>
                </w:r>
                <w:r w:rsidRPr="00124151">
                  <w:t xml:space="preserve">Seamus McGoran (Chair); Bill Montgomery; </w:t>
                </w:r>
                <w:r w:rsidR="003D5A01">
                  <w:t xml:space="preserve"> </w:t>
                </w:r>
                <w:r w:rsidRPr="00124151">
                  <w:t>Maurice Keady; Sinead Sharpe</w:t>
                </w:r>
                <w:r w:rsidR="003C0A18">
                  <w:t>; Rose Byrne.</w:t>
                </w:r>
              </w:p>
              <w:p w14:paraId="1339D3C0" w14:textId="77777777" w:rsidR="00AA618D" w:rsidRDefault="00AA618D" w:rsidP="003A361F">
                <w:pPr>
                  <w:rPr>
                    <w:b/>
                  </w:rPr>
                </w:pPr>
              </w:p>
              <w:p w14:paraId="1B59BAD7" w14:textId="0381522A" w:rsidR="00AA618D" w:rsidRDefault="00AA618D" w:rsidP="003A361F">
                <w:r w:rsidRPr="00124151">
                  <w:rPr>
                    <w:b/>
                  </w:rPr>
                  <w:t>Management</w:t>
                </w:r>
                <w:r w:rsidRPr="00124151">
                  <w:t xml:space="preserve">: </w:t>
                </w:r>
                <w:r w:rsidRPr="00124151">
                  <w:rPr>
                    <w:b/>
                  </w:rPr>
                  <w:t xml:space="preserve"> </w:t>
                </w:r>
                <w:r w:rsidRPr="00124151">
                  <w:rPr>
                    <w:bCs/>
                  </w:rPr>
                  <w:t>Aidan Sloan, Chief Operating Officer (COO</w:t>
                </w:r>
                <w:r w:rsidRPr="00124151">
                  <w:t>);  Damian Duffy, Deputy Chief Executive (Curriculum and Partnerships) (DCE); Hadessa McCusker, Deputy Head of Finance (</w:t>
                </w:r>
                <w:proofErr w:type="spellStart"/>
                <w:r w:rsidRPr="00124151">
                  <w:t>DHoF</w:t>
                </w:r>
                <w:proofErr w:type="spellEnd"/>
                <w:r w:rsidRPr="00124151">
                  <w:t>), Lisa McCartney, Head of Corporate Development (HCD).</w:t>
                </w:r>
              </w:p>
              <w:p w14:paraId="2A874E8B" w14:textId="77777777" w:rsidR="009D627C" w:rsidRPr="001C088A" w:rsidRDefault="009D627C" w:rsidP="003A361F"/>
              <w:p w14:paraId="24DBFAA1" w14:textId="7D437D8C" w:rsidR="00AA618D" w:rsidRDefault="00AA618D" w:rsidP="003A361F">
                <w:r w:rsidRPr="00124151">
                  <w:rPr>
                    <w:b/>
                  </w:rPr>
                  <w:t xml:space="preserve">Auditors: </w:t>
                </w:r>
                <w:r w:rsidRPr="00124151">
                  <w:t xml:space="preserve"> </w:t>
                </w:r>
                <w:r w:rsidR="00A86B5E">
                  <w:t xml:space="preserve">Kathy Doey, Northern Ireland Audit Office; </w:t>
                </w:r>
                <w:r w:rsidRPr="00124151">
                  <w:t>Ian McCartney RSMUK.</w:t>
                </w:r>
              </w:p>
              <w:p w14:paraId="6D1DA549" w14:textId="77777777" w:rsidR="009D627C" w:rsidRPr="00124151" w:rsidRDefault="009D627C" w:rsidP="003A361F"/>
              <w:p w14:paraId="4E80F724" w14:textId="1FD8EAF0" w:rsidR="00AA618D" w:rsidRDefault="00AA618D" w:rsidP="003A361F">
                <w:r w:rsidRPr="00124151">
                  <w:rPr>
                    <w:b/>
                  </w:rPr>
                  <w:t xml:space="preserve">Observer: </w:t>
                </w:r>
                <w:r w:rsidR="0009709A" w:rsidRPr="0009709A">
                  <w:rPr>
                    <w:bCs/>
                  </w:rPr>
                  <w:t>Heather Sampson</w:t>
                </w:r>
                <w:r w:rsidRPr="00124151">
                  <w:rPr>
                    <w:bCs/>
                  </w:rPr>
                  <w:t xml:space="preserve">, </w:t>
                </w:r>
                <w:r w:rsidRPr="00124151">
                  <w:t>Department for the Economy</w:t>
                </w:r>
              </w:p>
              <w:p w14:paraId="28A99DF1" w14:textId="77777777" w:rsidR="009D627C" w:rsidRPr="00124151" w:rsidRDefault="009D627C" w:rsidP="003A361F"/>
              <w:p w14:paraId="449605E8" w14:textId="77777777" w:rsidR="00AA618D" w:rsidRPr="00124151" w:rsidRDefault="00AA618D" w:rsidP="003A361F">
                <w:r w:rsidRPr="00124151">
                  <w:rPr>
                    <w:b/>
                  </w:rPr>
                  <w:t xml:space="preserve">Clerk to the Governing Body:   </w:t>
                </w:r>
                <w:r w:rsidRPr="00124151">
                  <w:t>Gerry Crossan</w:t>
                </w:r>
              </w:p>
              <w:p w14:paraId="4A6D695A" w14:textId="77777777" w:rsidR="00AA618D" w:rsidRPr="00124151" w:rsidRDefault="00AA618D" w:rsidP="003A361F">
                <w:pPr>
                  <w:rPr>
                    <w:b/>
                  </w:rPr>
                </w:pPr>
              </w:p>
            </w:tc>
          </w:tr>
          <w:tr w:rsidR="00990870" w14:paraId="2DCAD52F" w14:textId="77777777" w:rsidTr="0012588B">
            <w:trPr>
              <w:trHeight w:val="5171"/>
            </w:trPr>
            <w:tc>
              <w:tcPr>
                <w:tcW w:w="757" w:type="dxa"/>
              </w:tcPr>
              <w:p w14:paraId="68BDD5A1" w14:textId="4E8AC2C8" w:rsidR="00990870" w:rsidRDefault="00990870" w:rsidP="003A361F">
                <w:pPr>
                  <w:rPr>
                    <w:b/>
                    <w:color w:val="004E6C" w:themeColor="accent2" w:themeShade="80"/>
                  </w:rPr>
                </w:pPr>
                <w:r>
                  <w:rPr>
                    <w:noProof/>
                    <w:lang w:eastAsia="en-GB"/>
                  </w:rPr>
                  <w:drawing>
                    <wp:anchor distT="0" distB="0" distL="114300" distR="114300" simplePos="0" relativeHeight="251660288" behindDoc="1" locked="0" layoutInCell="1" allowOverlap="1" wp14:anchorId="4CD2446A" wp14:editId="34467FCA">
                      <wp:simplePos x="0" y="0"/>
                      <wp:positionH relativeFrom="page">
                        <wp:posOffset>-923290</wp:posOffset>
                      </wp:positionH>
                      <wp:positionV relativeFrom="paragraph">
                        <wp:posOffset>-4398010</wp:posOffset>
                      </wp:positionV>
                      <wp:extent cx="7562850" cy="106095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verning Body Letter head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850" cy="10609580"/>
                              </a:xfrm>
                              <a:prstGeom prst="rect">
                                <a:avLst/>
                              </a:prstGeom>
                            </pic:spPr>
                          </pic:pic>
                        </a:graphicData>
                      </a:graphic>
                      <wp14:sizeRelH relativeFrom="page">
                        <wp14:pctWidth>0</wp14:pctWidth>
                      </wp14:sizeRelH>
                      <wp14:sizeRelV relativeFrom="page">
                        <wp14:pctHeight>0</wp14:pctHeight>
                      </wp14:sizeRelV>
                    </wp:anchor>
                  </w:drawing>
                </w:r>
                <w:r>
                  <w:rPr>
                    <w:b/>
                    <w:color w:val="004E6C" w:themeColor="accent2" w:themeShade="80"/>
                  </w:rPr>
                  <w:t>AC41 23/24</w:t>
                </w:r>
              </w:p>
              <w:p w14:paraId="55B97F97" w14:textId="77777777" w:rsidR="00990870" w:rsidRDefault="00990870" w:rsidP="003A361F"/>
              <w:p w14:paraId="4860B898" w14:textId="77777777" w:rsidR="00990870" w:rsidRPr="002B02BA" w:rsidRDefault="00990870" w:rsidP="003A361F">
                <w:pPr>
                  <w:rPr>
                    <w:b/>
                    <w:color w:val="004E6C" w:themeColor="accent2" w:themeShade="80"/>
                  </w:rPr>
                </w:pPr>
              </w:p>
            </w:tc>
            <w:tc>
              <w:tcPr>
                <w:tcW w:w="8736" w:type="dxa"/>
              </w:tcPr>
              <w:p w14:paraId="419678E8" w14:textId="1DB40A9B" w:rsidR="00990870" w:rsidRPr="00E70B0F" w:rsidRDefault="00990870" w:rsidP="003A361F">
                <w:pPr>
                  <w:pStyle w:val="NormalWeb"/>
                  <w:shd w:val="clear" w:color="auto" w:fill="FFFFFF"/>
                  <w:spacing w:before="0" w:beforeAutospacing="0"/>
                  <w:rPr>
                    <w:rFonts w:asciiTheme="minorHAnsi" w:hAnsiTheme="minorHAnsi" w:cstheme="minorHAnsi"/>
                    <w:color w:val="161B1C"/>
                    <w:sz w:val="22"/>
                    <w:szCs w:val="22"/>
                  </w:rPr>
                </w:pPr>
                <w:r w:rsidRPr="00E70B0F">
                  <w:rPr>
                    <w:rFonts w:asciiTheme="minorHAnsi" w:hAnsiTheme="minorHAnsi" w:cstheme="minorHAnsi"/>
                    <w:b/>
                    <w:bCs/>
                    <w:color w:val="161B1C"/>
                    <w:sz w:val="22"/>
                    <w:szCs w:val="22"/>
                  </w:rPr>
                  <w:t>Quorum</w:t>
                </w:r>
                <w:r w:rsidRPr="00E70B0F">
                  <w:rPr>
                    <w:rFonts w:asciiTheme="minorHAnsi" w:hAnsiTheme="minorHAnsi" w:cstheme="minorHAnsi"/>
                    <w:color w:val="161B1C"/>
                    <w:sz w:val="22"/>
                    <w:szCs w:val="22"/>
                  </w:rPr>
                  <w:t>: The meeting</w:t>
                </w:r>
                <w:r>
                  <w:rPr>
                    <w:rFonts w:asciiTheme="minorHAnsi" w:hAnsiTheme="minorHAnsi" w:cstheme="minorHAnsi"/>
                    <w:color w:val="161B1C"/>
                    <w:sz w:val="22"/>
                    <w:szCs w:val="22"/>
                  </w:rPr>
                  <w:t xml:space="preserve"> was </w:t>
                </w:r>
                <w:r w:rsidRPr="00E70B0F">
                  <w:rPr>
                    <w:rFonts w:asciiTheme="minorHAnsi" w:hAnsiTheme="minorHAnsi" w:cstheme="minorHAnsi"/>
                    <w:color w:val="161B1C"/>
                    <w:sz w:val="22"/>
                    <w:szCs w:val="22"/>
                  </w:rPr>
                  <w:t>quorate under the terms of Section 2 of Belfast Metropolitan College Audit and Risk Assurance Committee: Terms of Reference </w:t>
                </w:r>
                <w:r w:rsidRPr="00E70B0F">
                  <w:rPr>
                    <w:rFonts w:asciiTheme="minorHAnsi" w:hAnsiTheme="minorHAnsi" w:cstheme="minorHAnsi"/>
                    <w:color w:val="FF0000"/>
                    <w:sz w:val="22"/>
                    <w:szCs w:val="22"/>
                  </w:rPr>
                  <w:t>V4</w:t>
                </w:r>
                <w:r w:rsidRPr="00E70B0F">
                  <w:rPr>
                    <w:rFonts w:asciiTheme="minorHAnsi" w:hAnsiTheme="minorHAnsi" w:cstheme="minorHAnsi"/>
                    <w:color w:val="161B1C"/>
                    <w:sz w:val="22"/>
                    <w:szCs w:val="22"/>
                  </w:rPr>
                  <w:t> 22 June 2022 approved at </w:t>
                </w:r>
                <w:r w:rsidRPr="00E70B0F">
                  <w:rPr>
                    <w:rFonts w:asciiTheme="minorHAnsi" w:hAnsiTheme="minorHAnsi" w:cstheme="minorHAnsi"/>
                    <w:b/>
                    <w:bCs/>
                    <w:color w:val="161B1C"/>
                    <w:sz w:val="22"/>
                    <w:szCs w:val="22"/>
                  </w:rPr>
                  <w:t>GB81 21/22 22 June 2022 </w:t>
                </w:r>
                <w:r w:rsidRPr="00E70B0F">
                  <w:rPr>
                    <w:rFonts w:asciiTheme="minorHAnsi" w:hAnsiTheme="minorHAnsi" w:cstheme="minorHAnsi"/>
                    <w:color w:val="161B1C"/>
                    <w:sz w:val="22"/>
                    <w:szCs w:val="22"/>
                  </w:rPr>
                  <w:t>(3 governors).</w:t>
                </w:r>
              </w:p>
              <w:p w14:paraId="44A94661" w14:textId="3E3083D6" w:rsidR="00990870" w:rsidRPr="00E70B0F" w:rsidRDefault="00990870" w:rsidP="003A361F">
                <w:pPr>
                  <w:pStyle w:val="NormalWeb"/>
                  <w:shd w:val="clear" w:color="auto" w:fill="FFFFFF"/>
                  <w:spacing w:before="0" w:beforeAutospacing="0"/>
                  <w:rPr>
                    <w:rFonts w:asciiTheme="minorHAnsi" w:hAnsiTheme="minorHAnsi" w:cstheme="minorHAnsi"/>
                    <w:color w:val="161B1C"/>
                    <w:sz w:val="22"/>
                    <w:szCs w:val="22"/>
                  </w:rPr>
                </w:pPr>
                <w:r w:rsidRPr="00E70B0F">
                  <w:rPr>
                    <w:rFonts w:asciiTheme="minorHAnsi" w:hAnsiTheme="minorHAnsi" w:cstheme="minorHAnsi"/>
                    <w:b/>
                    <w:bCs/>
                    <w:color w:val="161B1C"/>
                    <w:sz w:val="22"/>
                    <w:szCs w:val="22"/>
                  </w:rPr>
                  <w:t>Apologies</w:t>
                </w:r>
                <w:r w:rsidRPr="00E70B0F">
                  <w:rPr>
                    <w:rFonts w:asciiTheme="minorHAnsi" w:hAnsiTheme="minorHAnsi" w:cstheme="minorHAnsi"/>
                    <w:color w:val="161B1C"/>
                    <w:sz w:val="22"/>
                    <w:szCs w:val="22"/>
                  </w:rPr>
                  <w:t>: </w:t>
                </w:r>
                <w:r w:rsidRPr="00E70B0F">
                  <w:rPr>
                    <w:rFonts w:asciiTheme="minorHAnsi" w:hAnsiTheme="minorHAnsi" w:cstheme="minorHAnsi"/>
                    <w:color w:val="000000"/>
                    <w:sz w:val="22"/>
                    <w:szCs w:val="22"/>
                  </w:rPr>
                  <w:t>Apologies received from Laura Allen</w:t>
                </w:r>
                <w:r w:rsidR="003C0A18">
                  <w:rPr>
                    <w:rFonts w:asciiTheme="minorHAnsi" w:hAnsiTheme="minorHAnsi" w:cstheme="minorHAnsi"/>
                    <w:color w:val="000000"/>
                    <w:sz w:val="22"/>
                    <w:szCs w:val="22"/>
                  </w:rPr>
                  <w:t>,</w:t>
                </w:r>
                <w:r>
                  <w:rPr>
                    <w:rFonts w:asciiTheme="minorHAnsi" w:hAnsiTheme="minorHAnsi" w:cstheme="minorHAnsi"/>
                    <w:color w:val="000000"/>
                    <w:sz w:val="22"/>
                    <w:szCs w:val="22"/>
                  </w:rPr>
                  <w:t xml:space="preserve"> Louise Warde Hunter</w:t>
                </w:r>
                <w:r w:rsidR="003C0A18">
                  <w:rPr>
                    <w:rFonts w:asciiTheme="minorHAnsi" w:hAnsiTheme="minorHAnsi" w:cstheme="minorHAnsi"/>
                    <w:color w:val="000000"/>
                    <w:sz w:val="22"/>
                    <w:szCs w:val="22"/>
                  </w:rPr>
                  <w:t xml:space="preserve"> and Rose Byrne.</w:t>
                </w:r>
              </w:p>
              <w:p w14:paraId="2CFDD8DF" w14:textId="25C39630" w:rsidR="00990870" w:rsidRPr="00E70B0F" w:rsidRDefault="00990870" w:rsidP="003A361F">
                <w:pPr>
                  <w:pStyle w:val="NormalWeb"/>
                  <w:shd w:val="clear" w:color="auto" w:fill="FFFFFF"/>
                  <w:spacing w:before="0" w:beforeAutospacing="0"/>
                  <w:ind w:right="-108"/>
                  <w:rPr>
                    <w:rFonts w:asciiTheme="minorHAnsi" w:hAnsiTheme="minorHAnsi" w:cstheme="minorHAnsi"/>
                    <w:color w:val="161B1C"/>
                    <w:sz w:val="22"/>
                    <w:szCs w:val="22"/>
                  </w:rPr>
                </w:pPr>
                <w:r w:rsidRPr="00E70B0F">
                  <w:rPr>
                    <w:rFonts w:asciiTheme="minorHAnsi" w:hAnsiTheme="minorHAnsi" w:cstheme="minorHAnsi"/>
                    <w:b/>
                    <w:bCs/>
                    <w:color w:val="161B1C"/>
                    <w:sz w:val="22"/>
                    <w:szCs w:val="22"/>
                  </w:rPr>
                  <w:t>Welcome</w:t>
                </w:r>
                <w:r w:rsidRPr="00E70B0F">
                  <w:rPr>
                    <w:rFonts w:asciiTheme="minorHAnsi" w:hAnsiTheme="minorHAnsi" w:cstheme="minorHAnsi"/>
                    <w:color w:val="161B1C"/>
                    <w:sz w:val="22"/>
                    <w:szCs w:val="22"/>
                  </w:rPr>
                  <w:t xml:space="preserve">: </w:t>
                </w:r>
                <w:r>
                  <w:rPr>
                    <w:rFonts w:asciiTheme="minorHAnsi" w:hAnsiTheme="minorHAnsi" w:cstheme="minorHAnsi"/>
                    <w:color w:val="161B1C"/>
                    <w:sz w:val="22"/>
                    <w:szCs w:val="22"/>
                  </w:rPr>
                  <w:t>The Chair welcomed Kathy Doey, NIAO, to the meeting.</w:t>
                </w:r>
              </w:p>
              <w:p w14:paraId="2621A9BC" w14:textId="32FAD856" w:rsidR="00990870" w:rsidRDefault="00990870" w:rsidP="003A361F">
                <w:pPr>
                  <w:pStyle w:val="NormalWeb"/>
                  <w:shd w:val="clear" w:color="auto" w:fill="FFFFFF"/>
                  <w:spacing w:before="0" w:beforeAutospacing="0"/>
                  <w:rPr>
                    <w:rFonts w:asciiTheme="minorHAnsi" w:hAnsiTheme="minorHAnsi" w:cstheme="minorHAnsi"/>
                    <w:color w:val="161B1C"/>
                    <w:sz w:val="22"/>
                    <w:szCs w:val="22"/>
                  </w:rPr>
                </w:pPr>
                <w:r w:rsidRPr="00E70B0F">
                  <w:rPr>
                    <w:rFonts w:asciiTheme="minorHAnsi" w:hAnsiTheme="minorHAnsi" w:cstheme="minorHAnsi"/>
                    <w:b/>
                    <w:bCs/>
                    <w:color w:val="161B1C"/>
                    <w:sz w:val="22"/>
                    <w:szCs w:val="22"/>
                  </w:rPr>
                  <w:t>Conflicts of Interest</w:t>
                </w:r>
                <w:r w:rsidRPr="00E70B0F">
                  <w:rPr>
                    <w:rFonts w:asciiTheme="minorHAnsi" w:hAnsiTheme="minorHAnsi" w:cstheme="minorHAnsi"/>
                    <w:color w:val="161B1C"/>
                    <w:sz w:val="22"/>
                    <w:szCs w:val="22"/>
                  </w:rPr>
                  <w:t>: </w:t>
                </w:r>
                <w:r>
                  <w:rPr>
                    <w:rFonts w:asciiTheme="minorHAnsi" w:hAnsiTheme="minorHAnsi" w:cstheme="minorHAnsi"/>
                    <w:color w:val="161B1C"/>
                    <w:sz w:val="22"/>
                    <w:szCs w:val="22"/>
                  </w:rPr>
                  <w:t>No</w:t>
                </w:r>
                <w:r w:rsidRPr="00E70B0F">
                  <w:rPr>
                    <w:rFonts w:asciiTheme="minorHAnsi" w:hAnsiTheme="minorHAnsi" w:cstheme="minorHAnsi"/>
                    <w:color w:val="161B1C"/>
                    <w:sz w:val="22"/>
                    <w:szCs w:val="22"/>
                  </w:rPr>
                  <w:t xml:space="preserve"> perceived, potential or actual conflicts of interest</w:t>
                </w:r>
                <w:r>
                  <w:rPr>
                    <w:rFonts w:asciiTheme="minorHAnsi" w:hAnsiTheme="minorHAnsi" w:cstheme="minorHAnsi"/>
                    <w:color w:val="161B1C"/>
                    <w:sz w:val="22"/>
                    <w:szCs w:val="22"/>
                  </w:rPr>
                  <w:t xml:space="preserve"> were advised</w:t>
                </w:r>
                <w:r w:rsidRPr="00E70B0F">
                  <w:rPr>
                    <w:rFonts w:asciiTheme="minorHAnsi" w:hAnsiTheme="minorHAnsi" w:cstheme="minorHAnsi"/>
                    <w:color w:val="161B1C"/>
                    <w:sz w:val="22"/>
                    <w:szCs w:val="22"/>
                  </w:rPr>
                  <w:t xml:space="preserve"> under the terms of Section 8.1 of the Belfast Metropolitan College Governing Body Standing Orders </w:t>
                </w:r>
                <w:r w:rsidRPr="00E70B0F">
                  <w:rPr>
                    <w:rFonts w:asciiTheme="minorHAnsi" w:hAnsiTheme="minorHAnsi" w:cstheme="minorHAnsi"/>
                    <w:color w:val="FF0000"/>
                    <w:sz w:val="22"/>
                    <w:szCs w:val="22"/>
                  </w:rPr>
                  <w:t>V5</w:t>
                </w:r>
                <w:r w:rsidRPr="00E70B0F">
                  <w:rPr>
                    <w:rFonts w:asciiTheme="minorHAnsi" w:hAnsiTheme="minorHAnsi" w:cstheme="minorHAnsi"/>
                    <w:color w:val="161B1C"/>
                    <w:sz w:val="22"/>
                    <w:szCs w:val="22"/>
                  </w:rPr>
                  <w:t> dated June 2022 (</w:t>
                </w:r>
                <w:r w:rsidRPr="00E70B0F">
                  <w:rPr>
                    <w:rFonts w:asciiTheme="minorHAnsi" w:hAnsiTheme="minorHAnsi" w:cstheme="minorHAnsi"/>
                    <w:b/>
                    <w:bCs/>
                    <w:color w:val="161B1C"/>
                    <w:sz w:val="22"/>
                    <w:szCs w:val="22"/>
                  </w:rPr>
                  <w:t>GB81a 21/22 22 June 2022</w:t>
                </w:r>
                <w:r w:rsidRPr="00E70B0F">
                  <w:rPr>
                    <w:rFonts w:asciiTheme="minorHAnsi" w:hAnsiTheme="minorHAnsi" w:cstheme="minorHAnsi"/>
                    <w:color w:val="161B1C"/>
                    <w:sz w:val="22"/>
                    <w:szCs w:val="22"/>
                  </w:rPr>
                  <w:t>).</w:t>
                </w:r>
              </w:p>
              <w:p w14:paraId="70045AD1" w14:textId="6FA5E5EB" w:rsidR="00990870" w:rsidRPr="00E70B0F" w:rsidRDefault="00990870" w:rsidP="00856556">
                <w:pPr>
                  <w:pStyle w:val="NormalWeb"/>
                  <w:shd w:val="clear" w:color="auto" w:fill="FFFFFF"/>
                  <w:spacing w:before="0" w:beforeAutospacing="0"/>
                  <w:rPr>
                    <w:rFonts w:asciiTheme="minorHAnsi" w:hAnsiTheme="minorHAnsi" w:cstheme="minorHAnsi"/>
                    <w:color w:val="161B1C"/>
                    <w:sz w:val="22"/>
                    <w:szCs w:val="22"/>
                  </w:rPr>
                </w:pPr>
                <w:r w:rsidRPr="00E70B0F">
                  <w:rPr>
                    <w:rFonts w:asciiTheme="minorHAnsi" w:hAnsiTheme="minorHAnsi" w:cstheme="minorHAnsi"/>
                    <w:b/>
                    <w:bCs/>
                    <w:color w:val="161B1C"/>
                    <w:sz w:val="22"/>
                    <w:szCs w:val="22"/>
                  </w:rPr>
                  <w:t>Leadership Culture</w:t>
                </w:r>
                <w:r w:rsidRPr="00E70B0F">
                  <w:rPr>
                    <w:rFonts w:asciiTheme="minorHAnsi" w:hAnsiTheme="minorHAnsi" w:cstheme="minorHAnsi"/>
                    <w:color w:val="161B1C"/>
                    <w:sz w:val="22"/>
                    <w:szCs w:val="22"/>
                  </w:rPr>
                  <w:t xml:space="preserve">: Chair </w:t>
                </w:r>
                <w:r w:rsidRPr="00E965BE">
                  <w:rPr>
                    <w:rFonts w:asciiTheme="minorHAnsi" w:hAnsiTheme="minorHAnsi" w:cstheme="minorHAnsi"/>
                    <w:b/>
                    <w:bCs/>
                    <w:color w:val="161B1C"/>
                    <w:sz w:val="22"/>
                    <w:szCs w:val="22"/>
                    <w:u w:val="single"/>
                  </w:rPr>
                  <w:t>noted</w:t>
                </w:r>
                <w:r w:rsidRPr="00E965BE">
                  <w:rPr>
                    <w:rFonts w:asciiTheme="minorHAnsi" w:hAnsiTheme="minorHAnsi" w:cstheme="minorHAnsi"/>
                    <w:color w:val="161B1C"/>
                    <w:sz w:val="22"/>
                    <w:szCs w:val="22"/>
                    <w:u w:val="single"/>
                  </w:rPr>
                  <w:t xml:space="preserve"> </w:t>
                </w:r>
                <w:r w:rsidRPr="00E70B0F">
                  <w:rPr>
                    <w:rFonts w:asciiTheme="minorHAnsi" w:hAnsiTheme="minorHAnsi" w:cstheme="minorHAnsi"/>
                    <w:color w:val="161B1C"/>
                    <w:sz w:val="22"/>
                    <w:szCs w:val="22"/>
                  </w:rPr>
                  <w:t>our commitment to Governing Body Leadership Culture Watchwords (</w:t>
                </w:r>
                <w:r w:rsidRPr="00E70B0F">
                  <w:rPr>
                    <w:rFonts w:asciiTheme="minorHAnsi" w:hAnsiTheme="minorHAnsi" w:cstheme="minorHAnsi"/>
                    <w:b/>
                    <w:bCs/>
                    <w:color w:val="161B1C"/>
                    <w:sz w:val="22"/>
                    <w:szCs w:val="22"/>
                  </w:rPr>
                  <w:t>GB02d 22/23 21 September 2022</w:t>
                </w:r>
                <w:r w:rsidRPr="00E70B0F">
                  <w:rPr>
                    <w:rFonts w:asciiTheme="minorHAnsi" w:hAnsiTheme="minorHAnsi" w:cstheme="minorHAnsi"/>
                    <w:color w:val="161B1C"/>
                    <w:sz w:val="22"/>
                    <w:szCs w:val="22"/>
                  </w:rPr>
                  <w:t> refers):</w:t>
                </w:r>
                <w:r>
                  <w:rPr>
                    <w:rFonts w:asciiTheme="minorHAnsi" w:hAnsiTheme="minorHAnsi" w:cstheme="minorHAnsi"/>
                    <w:color w:val="161B1C"/>
                    <w:sz w:val="22"/>
                    <w:szCs w:val="22"/>
                  </w:rPr>
                  <w:t xml:space="preserve"> </w:t>
                </w:r>
                <w:r w:rsidRPr="00E70B0F">
                  <w:rPr>
                    <w:rFonts w:asciiTheme="minorHAnsi" w:hAnsiTheme="minorHAnsi" w:cstheme="minorHAnsi"/>
                    <w:color w:val="161B1C"/>
                    <w:sz w:val="22"/>
                    <w:szCs w:val="22"/>
                  </w:rPr>
                  <w:t>Courageous / Creative / Candour / Challenge </w:t>
                </w:r>
                <w:r w:rsidRPr="00E70B0F">
                  <w:rPr>
                    <w:rFonts w:asciiTheme="minorHAnsi" w:hAnsiTheme="minorHAnsi" w:cstheme="minorHAnsi"/>
                    <w:color w:val="104A5A"/>
                    <w:sz w:val="22"/>
                    <w:szCs w:val="22"/>
                  </w:rPr>
                  <w:t> </w:t>
                </w:r>
                <w:r w:rsidRPr="00E70B0F">
                  <w:rPr>
                    <w:rFonts w:asciiTheme="minorHAnsi" w:hAnsiTheme="minorHAnsi" w:cstheme="minorHAnsi"/>
                    <w:b/>
                    <w:bCs/>
                    <w:color w:val="104A5A"/>
                    <w:sz w:val="22"/>
                    <w:szCs w:val="22"/>
                  </w:rPr>
                  <w:t>AC53 23/24 </w:t>
                </w:r>
                <w:r w:rsidRPr="00E70B0F">
                  <w:rPr>
                    <w:rFonts w:asciiTheme="minorHAnsi" w:hAnsiTheme="minorHAnsi" w:cstheme="minorHAnsi"/>
                    <w:color w:val="161B1C"/>
                    <w:sz w:val="22"/>
                    <w:szCs w:val="22"/>
                  </w:rPr>
                  <w:t>below refers)</w:t>
                </w:r>
              </w:p>
              <w:p w14:paraId="3B007E35" w14:textId="721CF43E" w:rsidR="00990870" w:rsidRPr="00E70B0F" w:rsidRDefault="00990870" w:rsidP="003A361F">
                <w:pPr>
                  <w:pStyle w:val="NormalWeb"/>
                  <w:shd w:val="clear" w:color="auto" w:fill="FFFFFF"/>
                  <w:spacing w:before="0" w:beforeAutospacing="0"/>
                  <w:rPr>
                    <w:rFonts w:asciiTheme="minorHAnsi" w:hAnsiTheme="minorHAnsi" w:cstheme="minorHAnsi"/>
                    <w:color w:val="161B1C"/>
                    <w:sz w:val="22"/>
                    <w:szCs w:val="22"/>
                  </w:rPr>
                </w:pPr>
              </w:p>
              <w:p w14:paraId="38828A67" w14:textId="77777777" w:rsidR="00990870" w:rsidRPr="00E70B0F" w:rsidRDefault="00990870" w:rsidP="00856556">
                <w:pPr>
                  <w:pStyle w:val="NormalWeb"/>
                  <w:shd w:val="clear" w:color="auto" w:fill="FFFFFF"/>
                  <w:spacing w:before="0" w:beforeAutospacing="0"/>
                  <w:rPr>
                    <w:rFonts w:asciiTheme="minorHAnsi" w:hAnsiTheme="minorHAnsi" w:cstheme="minorHAnsi"/>
                    <w:b/>
                    <w:sz w:val="22"/>
                    <w:szCs w:val="22"/>
                  </w:rPr>
                </w:pPr>
              </w:p>
            </w:tc>
          </w:tr>
        </w:tbl>
        <w:p w14:paraId="39C44253" w14:textId="77777777" w:rsidR="001C088A" w:rsidRDefault="001C088A" w:rsidP="00CB4FF1">
          <w:pPr>
            <w:tabs>
              <w:tab w:val="left" w:pos="7965"/>
            </w:tabs>
          </w:pPr>
        </w:p>
        <w:p w14:paraId="4F575CD5" w14:textId="77777777" w:rsidR="00AA618D" w:rsidRDefault="00AA618D" w:rsidP="00CB4FF1">
          <w:pPr>
            <w:tabs>
              <w:tab w:val="left" w:pos="7965"/>
            </w:tabs>
          </w:pPr>
        </w:p>
        <w:p w14:paraId="0C4857F8" w14:textId="77777777" w:rsidR="00AA618D" w:rsidRDefault="00AA618D" w:rsidP="00CB4FF1">
          <w:pPr>
            <w:tabs>
              <w:tab w:val="left" w:pos="7965"/>
            </w:tabs>
          </w:pPr>
        </w:p>
        <w:p w14:paraId="5B5430D8" w14:textId="77777777" w:rsidR="00AA618D" w:rsidRDefault="00AA618D" w:rsidP="00CB4FF1">
          <w:pPr>
            <w:tabs>
              <w:tab w:val="left" w:pos="7965"/>
            </w:tabs>
          </w:pPr>
        </w:p>
        <w:p w14:paraId="60454F01" w14:textId="77777777" w:rsidR="00AA618D" w:rsidRDefault="00AA618D" w:rsidP="00CB4FF1">
          <w:pPr>
            <w:tabs>
              <w:tab w:val="left" w:pos="7965"/>
            </w:tabs>
          </w:pPr>
        </w:p>
        <w:p w14:paraId="111E1176" w14:textId="77777777" w:rsidR="00AA618D" w:rsidRDefault="00AA618D" w:rsidP="00CB4FF1">
          <w:pPr>
            <w:tabs>
              <w:tab w:val="left" w:pos="7965"/>
            </w:tabs>
          </w:pPr>
        </w:p>
        <w:p w14:paraId="3BB5B777" w14:textId="5DF4BDB1" w:rsidR="00A47397" w:rsidRDefault="0088655A" w:rsidP="00CB4FF1">
          <w:pPr>
            <w:tabs>
              <w:tab w:val="left" w:pos="7965"/>
            </w:tabs>
          </w:pPr>
          <w:r>
            <w:tab/>
          </w:r>
        </w:p>
        <w:tbl>
          <w:tblPr>
            <w:tblStyle w:val="TableGrid"/>
            <w:tblW w:w="5000" w:type="pct"/>
            <w:tblLayout w:type="fixed"/>
            <w:tblLook w:val="04A0" w:firstRow="1" w:lastRow="0" w:firstColumn="1" w:lastColumn="0" w:noHBand="0" w:noVBand="1"/>
          </w:tblPr>
          <w:tblGrid>
            <w:gridCol w:w="1123"/>
            <w:gridCol w:w="7893"/>
          </w:tblGrid>
          <w:tr w:rsidR="00AA618D" w:rsidRPr="00696BE4" w14:paraId="130B67D7" w14:textId="3896581B" w:rsidTr="00AA618D">
            <w:trPr>
              <w:tblHeader/>
            </w:trPr>
            <w:tc>
              <w:tcPr>
                <w:tcW w:w="5000" w:type="pct"/>
                <w:gridSpan w:val="2"/>
                <w:shd w:val="clear" w:color="auto" w:fill="4389D7" w:themeFill="text2" w:themeFillTint="99"/>
              </w:tcPr>
              <w:p w14:paraId="454C1697" w14:textId="77777777" w:rsidR="00AA618D" w:rsidRPr="00696BE4" w:rsidRDefault="00AA618D" w:rsidP="0088655A">
                <w:pPr>
                  <w:tabs>
                    <w:tab w:val="right" w:pos="9026"/>
                  </w:tabs>
                  <w:rPr>
                    <w:b/>
                  </w:rPr>
                </w:pPr>
                <w:r w:rsidRPr="00696BE4">
                  <w:rPr>
                    <w:b/>
                  </w:rPr>
                  <w:lastRenderedPageBreak/>
                  <w:t>Agenda Item</w:t>
                </w:r>
              </w:p>
            </w:tc>
          </w:tr>
          <w:tr w:rsidR="00AA618D" w14:paraId="663A2E19" w14:textId="79B77217" w:rsidTr="00AA618D">
            <w:tc>
              <w:tcPr>
                <w:tcW w:w="623" w:type="pct"/>
              </w:tcPr>
              <w:p w14:paraId="16D5F73E" w14:textId="4A92EF4C" w:rsidR="00AA618D" w:rsidRDefault="00AA618D" w:rsidP="00F63636">
                <w:pPr>
                  <w:rPr>
                    <w:b/>
                    <w:color w:val="004E6C" w:themeColor="accent2" w:themeShade="80"/>
                  </w:rPr>
                </w:pPr>
                <w:r>
                  <w:rPr>
                    <w:b/>
                    <w:color w:val="004E6C" w:themeColor="accent2" w:themeShade="80"/>
                  </w:rPr>
                  <w:t>AC42 23/24</w:t>
                </w:r>
              </w:p>
            </w:tc>
            <w:tc>
              <w:tcPr>
                <w:tcW w:w="4377" w:type="pct"/>
              </w:tcPr>
              <w:p w14:paraId="5DBAE24D" w14:textId="77777777" w:rsidR="00AA618D" w:rsidRPr="00E822CB" w:rsidRDefault="00AA618D" w:rsidP="00B5567E">
                <w:pPr>
                  <w:rPr>
                    <w:b/>
                  </w:rPr>
                </w:pPr>
                <w:r w:rsidRPr="00CE0F51">
                  <w:rPr>
                    <w:b/>
                  </w:rPr>
                  <w:t>Minutes o</w:t>
                </w:r>
                <w:r>
                  <w:rPr>
                    <w:b/>
                  </w:rPr>
                  <w:t xml:space="preserve">f the meeting held on 11 December 2023- </w:t>
                </w:r>
                <w:r w:rsidRPr="00AA7D61">
                  <w:rPr>
                    <w:b/>
                    <w:color w:val="FFC000"/>
                  </w:rPr>
                  <w:t>D</w:t>
                </w:r>
                <w:r>
                  <w:rPr>
                    <w:b/>
                    <w:color w:val="FFC000"/>
                  </w:rPr>
                  <w:t>RAFT (PROPOSED FINAL)</w:t>
                </w:r>
                <w:r w:rsidRPr="00AA7D61">
                  <w:rPr>
                    <w:color w:val="FFC000"/>
                  </w:rPr>
                  <w:t xml:space="preserve"> </w:t>
                </w:r>
                <w:r w:rsidRPr="00AA7D61">
                  <w:rPr>
                    <w:b/>
                    <w:color w:val="FFC000"/>
                  </w:rPr>
                  <w:t xml:space="preserve"> </w:t>
                </w:r>
              </w:p>
              <w:p w14:paraId="65889676" w14:textId="77777777" w:rsidR="00AA618D" w:rsidRDefault="00AA618D" w:rsidP="00B5567E">
                <w:pPr>
                  <w:rPr>
                    <w:b/>
                  </w:rPr>
                </w:pPr>
              </w:p>
              <w:p w14:paraId="157A6C2B" w14:textId="316C5380" w:rsidR="00AA618D" w:rsidRDefault="00AA618D" w:rsidP="008131A2">
                <w:r>
                  <w:t xml:space="preserve">The Committee </w:t>
                </w:r>
                <w:r w:rsidRPr="00EE6AF8">
                  <w:rPr>
                    <w:b/>
                    <w:u w:val="single"/>
                  </w:rPr>
                  <w:t>approve</w:t>
                </w:r>
                <w:r>
                  <w:rPr>
                    <w:b/>
                    <w:u w:val="single"/>
                  </w:rPr>
                  <w:t>d</w:t>
                </w:r>
                <w:r w:rsidRPr="00DA6BA9">
                  <w:t xml:space="preserve"> the Draft (Proposed Final) minutes</w:t>
                </w:r>
                <w:r>
                  <w:t xml:space="preserve"> of the meeting held on 11 December 2023 </w:t>
                </w:r>
                <w:r w:rsidR="00E965BE">
                  <w:t>without</w:t>
                </w:r>
                <w:r>
                  <w:t xml:space="preserve"> amendment.</w:t>
                </w:r>
              </w:p>
              <w:p w14:paraId="297AC73D" w14:textId="6D2DEA17" w:rsidR="00AA618D" w:rsidRPr="008131A2" w:rsidRDefault="00AA618D" w:rsidP="008131A2"/>
            </w:tc>
          </w:tr>
          <w:tr w:rsidR="00AA618D" w14:paraId="22D87AF0" w14:textId="63237E4E" w:rsidTr="00AA618D">
            <w:tc>
              <w:tcPr>
                <w:tcW w:w="623" w:type="pct"/>
              </w:tcPr>
              <w:p w14:paraId="428EAA6A" w14:textId="0E5AAE6A" w:rsidR="00AA618D" w:rsidRDefault="00AA618D" w:rsidP="00F63636">
                <w:pPr>
                  <w:rPr>
                    <w:b/>
                    <w:color w:val="004E6C" w:themeColor="accent2" w:themeShade="80"/>
                  </w:rPr>
                </w:pPr>
                <w:r>
                  <w:rPr>
                    <w:b/>
                    <w:color w:val="004E6C" w:themeColor="accent2" w:themeShade="80"/>
                  </w:rPr>
                  <w:t>AC43 23/24</w:t>
                </w:r>
              </w:p>
            </w:tc>
            <w:tc>
              <w:tcPr>
                <w:tcW w:w="4377" w:type="pct"/>
              </w:tcPr>
              <w:p w14:paraId="5375F4D9" w14:textId="77777777" w:rsidR="00AA618D" w:rsidRDefault="00AA618D" w:rsidP="00B5567E">
                <w:pPr>
                  <w:rPr>
                    <w:b/>
                  </w:rPr>
                </w:pPr>
                <w:r w:rsidRPr="00CE0F51">
                  <w:rPr>
                    <w:b/>
                  </w:rPr>
                  <w:t>Matters Arising from the minutes of</w:t>
                </w:r>
                <w:r>
                  <w:rPr>
                    <w:b/>
                  </w:rPr>
                  <w:t xml:space="preserve"> the meeting held on 11 December 2023</w:t>
                </w:r>
              </w:p>
              <w:p w14:paraId="62D16A10" w14:textId="77777777" w:rsidR="00AA618D" w:rsidRDefault="00AA618D" w:rsidP="00B5567E"/>
              <w:p w14:paraId="7EABC7D0" w14:textId="77777777" w:rsidR="00AA618D" w:rsidRDefault="00AA618D" w:rsidP="00B5567E">
                <w:r>
                  <w:t>No matters arising that are not on the agenda of this governance meeting.</w:t>
                </w:r>
              </w:p>
              <w:p w14:paraId="762C76DA" w14:textId="16DEDC07" w:rsidR="00AA618D" w:rsidRPr="00B5567E" w:rsidRDefault="00AA618D" w:rsidP="00B5567E">
                <w:pPr>
                  <w:rPr>
                    <w:b/>
                  </w:rPr>
                </w:pPr>
              </w:p>
            </w:tc>
          </w:tr>
          <w:tr w:rsidR="00AA618D" w14:paraId="1BD73381" w14:textId="77193BC7" w:rsidTr="00AA618D">
            <w:tc>
              <w:tcPr>
                <w:tcW w:w="623" w:type="pct"/>
              </w:tcPr>
              <w:p w14:paraId="5CDCA93B" w14:textId="259D02CC" w:rsidR="00AA618D" w:rsidRDefault="00AA618D" w:rsidP="0088655A">
                <w:pPr>
                  <w:tabs>
                    <w:tab w:val="right" w:pos="9026"/>
                  </w:tabs>
                  <w:rPr>
                    <w:b/>
                    <w:color w:val="004E6C" w:themeColor="accent2" w:themeShade="80"/>
                  </w:rPr>
                </w:pPr>
                <w:r>
                  <w:rPr>
                    <w:b/>
                    <w:color w:val="004E6C" w:themeColor="accent2" w:themeShade="80"/>
                  </w:rPr>
                  <w:t>AC44 23/24</w:t>
                </w:r>
              </w:p>
              <w:p w14:paraId="18552975" w14:textId="77777777" w:rsidR="00AA618D" w:rsidRPr="00852AF4" w:rsidRDefault="00AA618D" w:rsidP="0088655A">
                <w:pPr>
                  <w:tabs>
                    <w:tab w:val="right" w:pos="9026"/>
                  </w:tabs>
                </w:pPr>
                <w:r w:rsidRPr="00852AF4">
                  <w:t>Chair</w:t>
                </w:r>
              </w:p>
              <w:p w14:paraId="16242BFF" w14:textId="77777777" w:rsidR="00AA618D" w:rsidRPr="00094EC0" w:rsidRDefault="00AA618D" w:rsidP="0088655A">
                <w:pPr>
                  <w:tabs>
                    <w:tab w:val="right" w:pos="9026"/>
                  </w:tabs>
                  <w:rPr>
                    <w:b/>
                    <w:color w:val="0075A2" w:themeColor="accent2" w:themeShade="BF"/>
                  </w:rPr>
                </w:pPr>
                <w:r>
                  <w:rPr>
                    <w:b/>
                    <w:color w:val="004E6C" w:themeColor="accent2" w:themeShade="80"/>
                  </w:rPr>
                  <w:t xml:space="preserve"> </w:t>
                </w:r>
              </w:p>
            </w:tc>
            <w:tc>
              <w:tcPr>
                <w:tcW w:w="4377" w:type="pct"/>
              </w:tcPr>
              <w:p w14:paraId="47BD5CAC" w14:textId="77777777" w:rsidR="002A2686" w:rsidRDefault="002A2686" w:rsidP="00842D63">
                <w:pPr>
                  <w:rPr>
                    <w:rFonts w:asciiTheme="minorHAnsi" w:hAnsiTheme="minorHAnsi" w:cstheme="minorHAnsi"/>
                    <w:b/>
                    <w:bCs/>
                  </w:rPr>
                </w:pPr>
                <w:r w:rsidRPr="002A2686">
                  <w:rPr>
                    <w:rFonts w:asciiTheme="minorHAnsi" w:hAnsiTheme="minorHAnsi" w:cstheme="minorHAnsi"/>
                    <w:b/>
                    <w:bCs/>
                  </w:rPr>
                  <w:t>Governance Guidance and Information</w:t>
                </w:r>
              </w:p>
              <w:p w14:paraId="3118AD45" w14:textId="77777777" w:rsidR="00BD13CD" w:rsidRPr="002A2686" w:rsidRDefault="00BD13CD" w:rsidP="00842D63">
                <w:pPr>
                  <w:rPr>
                    <w:rFonts w:asciiTheme="minorHAnsi" w:hAnsiTheme="minorHAnsi" w:cstheme="minorHAnsi"/>
                    <w:b/>
                    <w:bCs/>
                  </w:rPr>
                </w:pPr>
              </w:p>
              <w:p w14:paraId="7B603C74" w14:textId="338AC7F3" w:rsidR="002A2686" w:rsidRDefault="005A474E" w:rsidP="005A474E">
                <w:pPr>
                  <w:pStyle w:val="ListParagraph"/>
                  <w:numPr>
                    <w:ilvl w:val="0"/>
                    <w:numId w:val="42"/>
                  </w:numPr>
                  <w:rPr>
                    <w:rFonts w:asciiTheme="minorHAnsi" w:hAnsiTheme="minorHAnsi" w:cstheme="minorHAnsi"/>
                  </w:rPr>
                </w:pPr>
                <w:r>
                  <w:rPr>
                    <w:rFonts w:asciiTheme="minorHAnsi" w:hAnsiTheme="minorHAnsi" w:cstheme="minorHAnsi"/>
                  </w:rPr>
                  <w:t>Whole of Government Accounts (WGA)</w:t>
                </w:r>
                <w:r w:rsidR="00BD13CD">
                  <w:rPr>
                    <w:rFonts w:asciiTheme="minorHAnsi" w:hAnsiTheme="minorHAnsi" w:cstheme="minorHAnsi"/>
                  </w:rPr>
                  <w:t xml:space="preserve"> issued 7 March 2024;</w:t>
                </w:r>
              </w:p>
              <w:p w14:paraId="3B19D7DA" w14:textId="60AEE7C9" w:rsidR="00BD13CD" w:rsidRDefault="00BD13CD" w:rsidP="005A474E">
                <w:pPr>
                  <w:pStyle w:val="ListParagraph"/>
                  <w:numPr>
                    <w:ilvl w:val="0"/>
                    <w:numId w:val="42"/>
                  </w:numPr>
                  <w:rPr>
                    <w:rFonts w:asciiTheme="minorHAnsi" w:hAnsiTheme="minorHAnsi" w:cstheme="minorHAnsi"/>
                  </w:rPr>
                </w:pPr>
                <w:r>
                  <w:rPr>
                    <w:rFonts w:asciiTheme="minorHAnsi" w:hAnsiTheme="minorHAnsi" w:cstheme="minorHAnsi"/>
                  </w:rPr>
                  <w:t>Dear Finance Director Letters (FDs) issued 5 March 2024);</w:t>
                </w:r>
              </w:p>
              <w:p w14:paraId="407A9DEF" w14:textId="5CEE0E91" w:rsidR="00BD13CD" w:rsidRDefault="00E71F23" w:rsidP="005A474E">
                <w:pPr>
                  <w:pStyle w:val="ListParagraph"/>
                  <w:numPr>
                    <w:ilvl w:val="0"/>
                    <w:numId w:val="42"/>
                  </w:numPr>
                  <w:rPr>
                    <w:rFonts w:asciiTheme="minorHAnsi" w:hAnsiTheme="minorHAnsi" w:cstheme="minorHAnsi"/>
                  </w:rPr>
                </w:pPr>
                <w:r>
                  <w:rPr>
                    <w:rFonts w:asciiTheme="minorHAnsi" w:hAnsiTheme="minorHAnsi" w:cstheme="minorHAnsi"/>
                  </w:rPr>
                  <w:t>Dear Accounting Officer Letters (DAOs) issued</w:t>
                </w:r>
                <w:r w:rsidR="00ED06D2">
                  <w:rPr>
                    <w:rFonts w:asciiTheme="minorHAnsi" w:hAnsiTheme="minorHAnsi" w:cstheme="minorHAnsi"/>
                  </w:rPr>
                  <w:t xml:space="preserve"> 8 February 2024;</w:t>
                </w:r>
              </w:p>
              <w:p w14:paraId="4511F728" w14:textId="223992E8" w:rsidR="00ED06D2" w:rsidRPr="005A474E" w:rsidRDefault="00D56B87" w:rsidP="005A474E">
                <w:pPr>
                  <w:pStyle w:val="ListParagraph"/>
                  <w:numPr>
                    <w:ilvl w:val="0"/>
                    <w:numId w:val="42"/>
                  </w:numPr>
                  <w:rPr>
                    <w:rFonts w:asciiTheme="minorHAnsi" w:hAnsiTheme="minorHAnsi" w:cstheme="minorHAnsi"/>
                  </w:rPr>
                </w:pPr>
                <w:r>
                  <w:rPr>
                    <w:rFonts w:asciiTheme="minorHAnsi" w:hAnsiTheme="minorHAnsi" w:cstheme="minorHAnsi"/>
                  </w:rPr>
                  <w:t>2023/24 Government Financial Reporting Manual (</w:t>
                </w:r>
                <w:proofErr w:type="spellStart"/>
                <w:r>
                  <w:rPr>
                    <w:rFonts w:asciiTheme="minorHAnsi" w:hAnsiTheme="minorHAnsi" w:cstheme="minorHAnsi"/>
                  </w:rPr>
                  <w:t>FReMs</w:t>
                </w:r>
                <w:proofErr w:type="spellEnd"/>
                <w:r>
                  <w:rPr>
                    <w:rFonts w:asciiTheme="minorHAnsi" w:hAnsiTheme="minorHAnsi" w:cstheme="minorHAnsi"/>
                  </w:rPr>
                  <w:t>) and accounts proformas issued</w:t>
                </w:r>
                <w:r w:rsidR="00484A6F">
                  <w:rPr>
                    <w:rFonts w:asciiTheme="minorHAnsi" w:hAnsiTheme="minorHAnsi" w:cstheme="minorHAnsi"/>
                  </w:rPr>
                  <w:t xml:space="preserve"> 16 January 2024;</w:t>
                </w:r>
              </w:p>
              <w:p w14:paraId="726203A6" w14:textId="46991FA8" w:rsidR="00AA618D" w:rsidRDefault="00AA618D" w:rsidP="00842D63">
                <w:pPr>
                  <w:rPr>
                    <w:rFonts w:asciiTheme="minorHAnsi" w:hAnsiTheme="minorHAnsi" w:cstheme="minorHAnsi"/>
                  </w:rPr>
                </w:pPr>
                <w:r>
                  <w:rPr>
                    <w:rFonts w:asciiTheme="minorHAnsi" w:hAnsiTheme="minorHAnsi" w:cstheme="minorHAnsi"/>
                  </w:rPr>
                  <w:t xml:space="preserve">The Committee to </w:t>
                </w:r>
                <w:r w:rsidRPr="00014A56">
                  <w:rPr>
                    <w:rFonts w:asciiTheme="minorHAnsi" w:hAnsiTheme="minorHAnsi" w:cstheme="minorHAnsi"/>
                    <w:b/>
                    <w:u w:val="single"/>
                  </w:rPr>
                  <w:t>access</w:t>
                </w:r>
                <w:r w:rsidRPr="00014A56">
                  <w:rPr>
                    <w:rFonts w:asciiTheme="minorHAnsi" w:hAnsiTheme="minorHAnsi" w:cstheme="minorHAnsi"/>
                    <w:b/>
                  </w:rPr>
                  <w:t xml:space="preserve"> </w:t>
                </w:r>
                <w:r>
                  <w:rPr>
                    <w:rFonts w:asciiTheme="minorHAnsi" w:hAnsiTheme="minorHAnsi" w:cstheme="minorHAnsi"/>
                  </w:rPr>
                  <w:t xml:space="preserve">the documents on the Department of Finance website, to </w:t>
                </w:r>
                <w:r w:rsidRPr="00014A56">
                  <w:rPr>
                    <w:rFonts w:asciiTheme="minorHAnsi" w:hAnsiTheme="minorHAnsi" w:cstheme="minorHAnsi"/>
                    <w:b/>
                    <w:u w:val="single"/>
                  </w:rPr>
                  <w:t>note</w:t>
                </w:r>
                <w:r>
                  <w:rPr>
                    <w:rFonts w:asciiTheme="minorHAnsi" w:hAnsiTheme="minorHAnsi" w:cstheme="minorHAnsi"/>
                  </w:rPr>
                  <w:t xml:space="preserve"> the governance guidance and information provided, to </w:t>
                </w:r>
                <w:r w:rsidRPr="00014A56">
                  <w:rPr>
                    <w:rFonts w:asciiTheme="minorHAnsi" w:hAnsiTheme="minorHAnsi" w:cstheme="minorHAnsi"/>
                    <w:b/>
                    <w:u w:val="single"/>
                  </w:rPr>
                  <w:t>note</w:t>
                </w:r>
                <w:r>
                  <w:rPr>
                    <w:rFonts w:asciiTheme="minorHAnsi" w:hAnsiTheme="minorHAnsi" w:cstheme="minorHAnsi"/>
                  </w:rPr>
                  <w:t xml:space="preserve"> the information provided by Management and  to </w:t>
                </w:r>
                <w:r w:rsidRPr="00014A56">
                  <w:rPr>
                    <w:rFonts w:asciiTheme="minorHAnsi" w:hAnsiTheme="minorHAnsi" w:cstheme="minorHAnsi"/>
                    <w:b/>
                    <w:u w:val="single"/>
                  </w:rPr>
                  <w:t>consider</w:t>
                </w:r>
                <w:r>
                  <w:rPr>
                    <w:rFonts w:asciiTheme="minorHAnsi" w:hAnsiTheme="minorHAnsi" w:cstheme="minorHAnsi"/>
                  </w:rPr>
                  <w:t xml:space="preserve"> the application to the governance and assurance framework in Belfast Metropolitan College.</w:t>
                </w:r>
              </w:p>
              <w:p w14:paraId="7030D138" w14:textId="26E05B3C" w:rsidR="00AA618D" w:rsidRPr="00CE38B9" w:rsidRDefault="00AA618D" w:rsidP="00CE38B9">
                <w:pPr>
                  <w:rPr>
                    <w:bCs/>
                  </w:rPr>
                </w:pPr>
              </w:p>
            </w:tc>
          </w:tr>
          <w:tr w:rsidR="00AA618D" w14:paraId="5392E1A8" w14:textId="07345F60" w:rsidTr="00AA618D">
            <w:tc>
              <w:tcPr>
                <w:tcW w:w="623" w:type="pct"/>
              </w:tcPr>
              <w:p w14:paraId="687FE8CF" w14:textId="4ACCC452" w:rsidR="00AA618D" w:rsidRDefault="00AA618D" w:rsidP="002E29AA">
                <w:pPr>
                  <w:tabs>
                    <w:tab w:val="right" w:pos="9026"/>
                  </w:tabs>
                  <w:rPr>
                    <w:b/>
                    <w:color w:val="004E6C" w:themeColor="accent2" w:themeShade="80"/>
                  </w:rPr>
                </w:pPr>
                <w:r>
                  <w:rPr>
                    <w:b/>
                    <w:color w:val="004E6C" w:themeColor="accent2" w:themeShade="80"/>
                  </w:rPr>
                  <w:t>AC45 23/24</w:t>
                </w:r>
              </w:p>
              <w:p w14:paraId="79C3A7ED" w14:textId="77777777" w:rsidR="00AA618D" w:rsidRDefault="00AA618D" w:rsidP="00F63636">
                <w:pPr>
                  <w:rPr>
                    <w:b/>
                    <w:color w:val="004E6C" w:themeColor="accent2" w:themeShade="80"/>
                  </w:rPr>
                </w:pPr>
              </w:p>
            </w:tc>
            <w:tc>
              <w:tcPr>
                <w:tcW w:w="4377" w:type="pct"/>
              </w:tcPr>
              <w:p w14:paraId="3430AE31" w14:textId="22DA45EF" w:rsidR="00AA618D" w:rsidRPr="00B215EA" w:rsidRDefault="00AA618D" w:rsidP="00B215EA">
                <w:pPr>
                  <w:rPr>
                    <w:b/>
                  </w:rPr>
                </w:pPr>
                <w:r>
                  <w:rPr>
                    <w:b/>
                  </w:rPr>
                  <w:t xml:space="preserve">Notification of change to the internal control environment under Section 12d of Governing Body Standing Orders </w:t>
                </w:r>
                <w:r>
                  <w:rPr>
                    <w:b/>
                    <w:color w:val="FF0000"/>
                  </w:rPr>
                  <w:t>V5</w:t>
                </w:r>
                <w:r>
                  <w:rPr>
                    <w:b/>
                  </w:rPr>
                  <w:t xml:space="preserve"> 22 June 2022</w:t>
                </w:r>
                <w:r w:rsidRPr="00B215EA">
                  <w:rPr>
                    <w:bCs/>
                  </w:rPr>
                  <w:t>.</w:t>
                </w:r>
              </w:p>
              <w:p w14:paraId="70AF56D6" w14:textId="6C877192" w:rsidR="00AA618D" w:rsidRDefault="00AA618D" w:rsidP="00E41A0B">
                <w:pPr>
                  <w:rPr>
                    <w:bCs/>
                  </w:rPr>
                </w:pPr>
              </w:p>
              <w:p w14:paraId="0DB261DE" w14:textId="41AE1D9D" w:rsidR="008F1A30" w:rsidRPr="0099630E" w:rsidRDefault="008F1A30" w:rsidP="0099630E">
                <w:pPr>
                  <w:pStyle w:val="ListParagraph"/>
                  <w:numPr>
                    <w:ilvl w:val="0"/>
                    <w:numId w:val="38"/>
                  </w:numPr>
                  <w:rPr>
                    <w:bCs/>
                  </w:rPr>
                </w:pPr>
                <w:r w:rsidRPr="0099630E">
                  <w:rPr>
                    <w:bCs/>
                  </w:rPr>
                  <w:t>Social Media P</w:t>
                </w:r>
                <w:r w:rsidR="000C150A" w:rsidRPr="0099630E">
                  <w:rPr>
                    <w:bCs/>
                  </w:rPr>
                  <w:t xml:space="preserve">olicy – The </w:t>
                </w:r>
                <w:r w:rsidR="00454CD9" w:rsidRPr="0099630E">
                  <w:rPr>
                    <w:bCs/>
                  </w:rPr>
                  <w:t xml:space="preserve">Committee </w:t>
                </w:r>
                <w:r w:rsidR="00454CD9" w:rsidRPr="009D627C">
                  <w:rPr>
                    <w:b/>
                    <w:u w:val="single"/>
                  </w:rPr>
                  <w:t xml:space="preserve">noted </w:t>
                </w:r>
                <w:r w:rsidR="00454CD9" w:rsidRPr="0099630E">
                  <w:rPr>
                    <w:bCs/>
                  </w:rPr>
                  <w:t>the change</w:t>
                </w:r>
                <w:r w:rsidR="00B7096C" w:rsidRPr="0099630E">
                  <w:rPr>
                    <w:bCs/>
                  </w:rPr>
                  <w:t xml:space="preserve"> and sought further information on the framework underpinning this standing item on the agenda.</w:t>
                </w:r>
              </w:p>
              <w:p w14:paraId="620E2449" w14:textId="77777777" w:rsidR="00AA618D" w:rsidRPr="00CE0F51" w:rsidRDefault="00AA618D" w:rsidP="00B215EA">
                <w:pPr>
                  <w:rPr>
                    <w:b/>
                  </w:rPr>
                </w:pPr>
              </w:p>
            </w:tc>
          </w:tr>
          <w:tr w:rsidR="00AA618D" w14:paraId="43780258" w14:textId="40D7AF0A" w:rsidTr="00AA618D">
            <w:tc>
              <w:tcPr>
                <w:tcW w:w="623" w:type="pct"/>
              </w:tcPr>
              <w:p w14:paraId="0045D163" w14:textId="5650E747" w:rsidR="00AA618D" w:rsidRDefault="00AA618D" w:rsidP="0088655A">
                <w:pPr>
                  <w:tabs>
                    <w:tab w:val="right" w:pos="9026"/>
                  </w:tabs>
                  <w:rPr>
                    <w:b/>
                    <w:color w:val="0075A2" w:themeColor="accent2" w:themeShade="BF"/>
                  </w:rPr>
                </w:pPr>
                <w:r>
                  <w:rPr>
                    <w:b/>
                    <w:color w:val="004E6C" w:themeColor="accent2" w:themeShade="80"/>
                  </w:rPr>
                  <w:t>AC46 23/24</w:t>
                </w:r>
              </w:p>
              <w:p w14:paraId="117E65CF" w14:textId="77777777" w:rsidR="00AA618D" w:rsidRPr="00852AF4" w:rsidRDefault="00AA618D" w:rsidP="0088655A">
                <w:pPr>
                  <w:tabs>
                    <w:tab w:val="right" w:pos="9026"/>
                  </w:tabs>
                  <w:rPr>
                    <w:color w:val="0075A2" w:themeColor="accent2" w:themeShade="BF"/>
                  </w:rPr>
                </w:pPr>
                <w:r w:rsidRPr="00852AF4">
                  <w:t xml:space="preserve">Chair </w:t>
                </w:r>
              </w:p>
            </w:tc>
            <w:tc>
              <w:tcPr>
                <w:tcW w:w="4377" w:type="pct"/>
              </w:tcPr>
              <w:p w14:paraId="39147B6F" w14:textId="77777777" w:rsidR="00AA618D" w:rsidRDefault="00AA618D" w:rsidP="0088655A">
                <w:pPr>
                  <w:tabs>
                    <w:tab w:val="right" w:pos="9026"/>
                  </w:tabs>
                  <w:rPr>
                    <w:b/>
                  </w:rPr>
                </w:pPr>
                <w:r w:rsidRPr="00DA6BA9">
                  <w:rPr>
                    <w:b/>
                  </w:rPr>
                  <w:t xml:space="preserve">Chair’s Business </w:t>
                </w:r>
              </w:p>
              <w:p w14:paraId="69D580EF" w14:textId="6ACE74C9" w:rsidR="00AA618D" w:rsidRDefault="00AA618D" w:rsidP="00E41A0B"/>
              <w:p w14:paraId="31542D7C" w14:textId="1E82D7E2" w:rsidR="00454CD9" w:rsidRDefault="00AA618D" w:rsidP="00E41A0B">
                <w:r>
                  <w:t xml:space="preserve">The Committee noted </w:t>
                </w:r>
                <w:r w:rsidR="00B7096C">
                  <w:t>the current position</w:t>
                </w:r>
                <w:r w:rsidR="0084097C">
                  <w:t xml:space="preserve"> and assurances on compliance from Management in relation to:</w:t>
                </w:r>
              </w:p>
              <w:p w14:paraId="12D0E60E" w14:textId="77777777" w:rsidR="00454CD9" w:rsidRDefault="00454CD9" w:rsidP="00E41A0B"/>
              <w:p w14:paraId="0038C808" w14:textId="7F6A245C" w:rsidR="00E965BE" w:rsidRDefault="00454CD9" w:rsidP="00F86F3E">
                <w:pPr>
                  <w:pStyle w:val="ListParagraph"/>
                  <w:numPr>
                    <w:ilvl w:val="0"/>
                    <w:numId w:val="37"/>
                  </w:numPr>
                </w:pPr>
                <w:r>
                  <w:t xml:space="preserve">Internal Audit </w:t>
                </w:r>
                <w:r w:rsidR="000C150A">
                  <w:t>Review of Corporate Governance</w:t>
                </w:r>
                <w:r>
                  <w:t>;</w:t>
                </w:r>
              </w:p>
              <w:p w14:paraId="68C4D469" w14:textId="77777777" w:rsidR="00BF7FBE" w:rsidRDefault="00BF7FBE" w:rsidP="00BF7FBE">
                <w:pPr>
                  <w:pStyle w:val="ListParagraph"/>
                </w:pPr>
              </w:p>
              <w:p w14:paraId="717E3D0B" w14:textId="6CAA6CD6" w:rsidR="00454CD9" w:rsidRDefault="00454CD9" w:rsidP="00454CD9">
                <w:pPr>
                  <w:pStyle w:val="ListParagraph"/>
                  <w:numPr>
                    <w:ilvl w:val="0"/>
                    <w:numId w:val="37"/>
                  </w:numPr>
                </w:pPr>
                <w:r>
                  <w:t>Update on the status of Voluntary Redundancy Scheme</w:t>
                </w:r>
                <w:r w:rsidR="006E1118">
                  <w:t xml:space="preserve"> – the COO updated the Committee;</w:t>
                </w:r>
              </w:p>
              <w:p w14:paraId="74816A88" w14:textId="77777777" w:rsidR="00BF7FBE" w:rsidRDefault="00BF7FBE" w:rsidP="00BF7FBE"/>
              <w:p w14:paraId="149E9ED5" w14:textId="61BF97D0" w:rsidR="000C150A" w:rsidRPr="00D36019" w:rsidRDefault="00DC0750" w:rsidP="00E41A0B">
                <w:pPr>
                  <w:pStyle w:val="ListParagraph"/>
                  <w:numPr>
                    <w:ilvl w:val="0"/>
                    <w:numId w:val="37"/>
                  </w:numPr>
                </w:pPr>
                <w:r>
                  <w:t xml:space="preserve">Update on the current discussions with DfE and on the agenda of NIFON in relation to a potential change to the requirement for insurance across the FE sector as a whole – Management </w:t>
                </w:r>
                <w:r w:rsidR="00A50B78">
                  <w:t xml:space="preserve">and DfE </w:t>
                </w:r>
                <w:r>
                  <w:t xml:space="preserve">will advise the Committee in the event of these discussions leading to a change to the internal control environment </w:t>
                </w:r>
                <w:r w:rsidR="00D36019">
                  <w:t>under Section 12d of the Standing Orders of the Governing Body as set out above.</w:t>
                </w:r>
              </w:p>
              <w:p w14:paraId="1466B69B" w14:textId="77777777" w:rsidR="00AA618D" w:rsidRDefault="00AA618D" w:rsidP="00B215EA"/>
            </w:tc>
          </w:tr>
          <w:tr w:rsidR="00196F20" w14:paraId="10AC44E4" w14:textId="77777777" w:rsidTr="00AA618D">
            <w:tc>
              <w:tcPr>
                <w:tcW w:w="623" w:type="pct"/>
              </w:tcPr>
              <w:p w14:paraId="07BA4812" w14:textId="0949FEA8" w:rsidR="00196F20" w:rsidRPr="00196F20" w:rsidRDefault="00196F20" w:rsidP="00196F20">
                <w:pPr>
                  <w:tabs>
                    <w:tab w:val="right" w:pos="9026"/>
                  </w:tabs>
                  <w:rPr>
                    <w:b/>
                    <w:color w:val="0075A2" w:themeColor="accent2" w:themeShade="BF"/>
                  </w:rPr>
                </w:pPr>
                <w:r>
                  <w:rPr>
                    <w:b/>
                    <w:color w:val="004E6C" w:themeColor="accent2" w:themeShade="80"/>
                  </w:rPr>
                  <w:t>AC4</w:t>
                </w:r>
                <w:r w:rsidR="00FA40E1">
                  <w:rPr>
                    <w:b/>
                    <w:color w:val="004E6C" w:themeColor="accent2" w:themeShade="80"/>
                  </w:rPr>
                  <w:t>7</w:t>
                </w:r>
                <w:r>
                  <w:rPr>
                    <w:b/>
                    <w:color w:val="004E6C" w:themeColor="accent2" w:themeShade="80"/>
                  </w:rPr>
                  <w:t xml:space="preserve"> 23/24</w:t>
                </w:r>
              </w:p>
              <w:p w14:paraId="4A547163" w14:textId="77777777" w:rsidR="00196F20" w:rsidRDefault="00196F20" w:rsidP="00A03039">
                <w:pPr>
                  <w:tabs>
                    <w:tab w:val="right" w:pos="9026"/>
                  </w:tabs>
                  <w:rPr>
                    <w:b/>
                    <w:color w:val="004E6C" w:themeColor="accent2" w:themeShade="80"/>
                  </w:rPr>
                </w:pPr>
              </w:p>
            </w:tc>
            <w:tc>
              <w:tcPr>
                <w:tcW w:w="4377" w:type="pct"/>
              </w:tcPr>
              <w:p w14:paraId="4FB3E8EC" w14:textId="77777777" w:rsidR="00196F20" w:rsidRDefault="00196F20" w:rsidP="00A03039">
                <w:pPr>
                  <w:tabs>
                    <w:tab w:val="right" w:pos="9026"/>
                  </w:tabs>
                  <w:rPr>
                    <w:b/>
                  </w:rPr>
                </w:pPr>
                <w:r>
                  <w:rPr>
                    <w:b/>
                  </w:rPr>
                  <w:t>Financial Report and Budget Reforecast March 2024</w:t>
                </w:r>
              </w:p>
              <w:p w14:paraId="20ADAF59" w14:textId="77777777" w:rsidR="00196F20" w:rsidRDefault="00196F20" w:rsidP="00A03039">
                <w:pPr>
                  <w:tabs>
                    <w:tab w:val="right" w:pos="9026"/>
                  </w:tabs>
                  <w:rPr>
                    <w:b/>
                  </w:rPr>
                </w:pPr>
              </w:p>
              <w:p w14:paraId="1A2F4880" w14:textId="1D5E7FB3" w:rsidR="00196F20" w:rsidRPr="006715EB" w:rsidRDefault="00196F20" w:rsidP="00A03039">
                <w:pPr>
                  <w:tabs>
                    <w:tab w:val="right" w:pos="9026"/>
                  </w:tabs>
                  <w:rPr>
                    <w:bCs/>
                  </w:rPr>
                </w:pPr>
                <w:r w:rsidRPr="006715EB">
                  <w:rPr>
                    <w:bCs/>
                  </w:rPr>
                  <w:t xml:space="preserve">Last considered </w:t>
                </w:r>
                <w:r w:rsidRPr="00E965BE">
                  <w:rPr>
                    <w:b/>
                    <w:color w:val="2191C9" w:themeColor="background2" w:themeShade="80"/>
                  </w:rPr>
                  <w:t>RC</w:t>
                </w:r>
                <w:r w:rsidR="006960BE" w:rsidRPr="00E965BE">
                  <w:rPr>
                    <w:b/>
                    <w:color w:val="2191C9" w:themeColor="background2" w:themeShade="80"/>
                  </w:rPr>
                  <w:t>40 23</w:t>
                </w:r>
                <w:r w:rsidR="00FA40E1" w:rsidRPr="00E965BE">
                  <w:rPr>
                    <w:b/>
                    <w:color w:val="2191C9" w:themeColor="background2" w:themeShade="80"/>
                  </w:rPr>
                  <w:t>/24 6 March 2024</w:t>
                </w:r>
                <w:r w:rsidR="00E965BE">
                  <w:rPr>
                    <w:bCs/>
                  </w:rPr>
                  <w:t>.</w:t>
                </w:r>
              </w:p>
              <w:p w14:paraId="760B656E" w14:textId="6889F93A" w:rsidR="00196F20" w:rsidRPr="006715EB" w:rsidRDefault="008A4619" w:rsidP="008A4619">
                <w:pPr>
                  <w:tabs>
                    <w:tab w:val="left" w:pos="5310"/>
                  </w:tabs>
                  <w:rPr>
                    <w:bCs/>
                  </w:rPr>
                </w:pPr>
                <w:r>
                  <w:rPr>
                    <w:bCs/>
                  </w:rPr>
                  <w:tab/>
                </w:r>
              </w:p>
              <w:p w14:paraId="0266DD1C" w14:textId="06C683A0" w:rsidR="006E21A9" w:rsidRDefault="00BD2ED7" w:rsidP="00A03039">
                <w:pPr>
                  <w:tabs>
                    <w:tab w:val="right" w:pos="9026"/>
                  </w:tabs>
                  <w:rPr>
                    <w:bCs/>
                  </w:rPr>
                </w:pPr>
                <w:r>
                  <w:rPr>
                    <w:bCs/>
                  </w:rPr>
                  <w:lastRenderedPageBreak/>
                  <w:t xml:space="preserve">The </w:t>
                </w:r>
                <w:r w:rsidR="006715EB" w:rsidRPr="006715EB">
                  <w:rPr>
                    <w:bCs/>
                  </w:rPr>
                  <w:t>COO</w:t>
                </w:r>
                <w:r w:rsidR="00FA40E1">
                  <w:rPr>
                    <w:bCs/>
                  </w:rPr>
                  <w:t>:</w:t>
                </w:r>
              </w:p>
              <w:p w14:paraId="28B7CD8B" w14:textId="77777777" w:rsidR="006E21A9" w:rsidRDefault="006E21A9" w:rsidP="00A03039">
                <w:pPr>
                  <w:tabs>
                    <w:tab w:val="right" w:pos="9026"/>
                  </w:tabs>
                  <w:rPr>
                    <w:bCs/>
                  </w:rPr>
                </w:pPr>
              </w:p>
              <w:p w14:paraId="76FFBB96" w14:textId="59577618" w:rsidR="006715EB" w:rsidRPr="00BD2ED7" w:rsidRDefault="006715EB" w:rsidP="00BD2ED7">
                <w:pPr>
                  <w:pStyle w:val="ListParagraph"/>
                  <w:numPr>
                    <w:ilvl w:val="0"/>
                    <w:numId w:val="40"/>
                  </w:numPr>
                  <w:tabs>
                    <w:tab w:val="right" w:pos="9026"/>
                  </w:tabs>
                  <w:rPr>
                    <w:bCs/>
                  </w:rPr>
                </w:pPr>
                <w:r w:rsidRPr="00BD2ED7">
                  <w:rPr>
                    <w:bCs/>
                  </w:rPr>
                  <w:t xml:space="preserve">updated the ARAC on the key issues around </w:t>
                </w:r>
                <w:r w:rsidR="00865264" w:rsidRPr="00BD2ED7">
                  <w:rPr>
                    <w:bCs/>
                  </w:rPr>
                  <w:t xml:space="preserve">outturn and controls in relation to </w:t>
                </w:r>
                <w:r w:rsidRPr="00BD2ED7">
                  <w:rPr>
                    <w:bCs/>
                  </w:rPr>
                  <w:t xml:space="preserve">income and expenditure in the context of the current </w:t>
                </w:r>
                <w:r w:rsidR="00865264" w:rsidRPr="00BD2ED7">
                  <w:rPr>
                    <w:bCs/>
                  </w:rPr>
                  <w:t>restructuring and response to new and emerging busines</w:t>
                </w:r>
                <w:r w:rsidR="00AE6ECB" w:rsidRPr="00BD2ED7">
                  <w:rPr>
                    <w:bCs/>
                  </w:rPr>
                  <w:t>s;</w:t>
                </w:r>
                <w:r w:rsidR="006E21A9" w:rsidRPr="00BD2ED7">
                  <w:rPr>
                    <w:bCs/>
                  </w:rPr>
                  <w:t xml:space="preserve"> and,</w:t>
                </w:r>
              </w:p>
              <w:p w14:paraId="26E1E0CF" w14:textId="77777777" w:rsidR="006E21A9" w:rsidRDefault="006E21A9" w:rsidP="00A03039">
                <w:pPr>
                  <w:tabs>
                    <w:tab w:val="right" w:pos="9026"/>
                  </w:tabs>
                  <w:rPr>
                    <w:bCs/>
                  </w:rPr>
                </w:pPr>
              </w:p>
              <w:p w14:paraId="61A6EFCB" w14:textId="544DB7DD" w:rsidR="006E21A9" w:rsidRDefault="006E21A9" w:rsidP="00BD2ED7">
                <w:pPr>
                  <w:pStyle w:val="ListParagraph"/>
                  <w:numPr>
                    <w:ilvl w:val="0"/>
                    <w:numId w:val="40"/>
                  </w:numPr>
                  <w:tabs>
                    <w:tab w:val="right" w:pos="9026"/>
                  </w:tabs>
                  <w:rPr>
                    <w:bCs/>
                  </w:rPr>
                </w:pPr>
                <w:r w:rsidRPr="00BD2ED7">
                  <w:rPr>
                    <w:bCs/>
                  </w:rPr>
                  <w:t xml:space="preserve">advised ARAC on the control framework that had been put in place in early 2023 which has underpinned Management action to </w:t>
                </w:r>
                <w:r w:rsidR="00BD2ED7" w:rsidRPr="00BD2ED7">
                  <w:rPr>
                    <w:bCs/>
                  </w:rPr>
                  <w:t>bring the College to this position at this point</w:t>
                </w:r>
                <w:r w:rsidR="00703C44">
                  <w:rPr>
                    <w:bCs/>
                  </w:rPr>
                  <w:t>;</w:t>
                </w:r>
                <w:r w:rsidR="0086361A">
                  <w:rPr>
                    <w:bCs/>
                  </w:rPr>
                  <w:t xml:space="preserve"> and,</w:t>
                </w:r>
              </w:p>
              <w:p w14:paraId="1CAFEAA4" w14:textId="77777777" w:rsidR="00703C44" w:rsidRPr="00703C44" w:rsidRDefault="00703C44" w:rsidP="00703C44">
                <w:pPr>
                  <w:pStyle w:val="ListParagraph"/>
                  <w:rPr>
                    <w:bCs/>
                  </w:rPr>
                </w:pPr>
              </w:p>
              <w:p w14:paraId="3E59F8F0" w14:textId="3325146E" w:rsidR="00703C44" w:rsidRPr="00BD2ED7" w:rsidRDefault="00703C44" w:rsidP="00BD2ED7">
                <w:pPr>
                  <w:pStyle w:val="ListParagraph"/>
                  <w:numPr>
                    <w:ilvl w:val="0"/>
                    <w:numId w:val="40"/>
                  </w:numPr>
                  <w:tabs>
                    <w:tab w:val="right" w:pos="9026"/>
                  </w:tabs>
                  <w:rPr>
                    <w:bCs/>
                  </w:rPr>
                </w:pPr>
                <w:r>
                  <w:rPr>
                    <w:bCs/>
                  </w:rPr>
                  <w:t>capital and revenue expenditure which has been brought forward from 20</w:t>
                </w:r>
                <w:r w:rsidR="0086361A">
                  <w:rPr>
                    <w:bCs/>
                  </w:rPr>
                  <w:t xml:space="preserve">24/25 in the present circumstances and which is building the College capability to address the challenges anticipated </w:t>
                </w:r>
                <w:r w:rsidR="00E17B36">
                  <w:rPr>
                    <w:bCs/>
                  </w:rPr>
                  <w:t xml:space="preserve">during the “build-back” period in </w:t>
                </w:r>
                <w:r w:rsidR="0086361A">
                  <w:rPr>
                    <w:bCs/>
                  </w:rPr>
                  <w:t>2024/25.</w:t>
                </w:r>
              </w:p>
              <w:p w14:paraId="248EADBF" w14:textId="4BCC7382" w:rsidR="006715EB" w:rsidRDefault="006715EB" w:rsidP="00A03039">
                <w:pPr>
                  <w:tabs>
                    <w:tab w:val="right" w:pos="9026"/>
                  </w:tabs>
                  <w:rPr>
                    <w:b/>
                  </w:rPr>
                </w:pPr>
              </w:p>
            </w:tc>
          </w:tr>
          <w:tr w:rsidR="005A25C6" w14:paraId="62E85D3E" w14:textId="77777777" w:rsidTr="00AA618D">
            <w:tc>
              <w:tcPr>
                <w:tcW w:w="623" w:type="pct"/>
              </w:tcPr>
              <w:p w14:paraId="7651D3E2" w14:textId="77777777" w:rsidR="005A25C6" w:rsidRPr="00731916" w:rsidRDefault="005A25C6" w:rsidP="005A25C6">
                <w:pPr>
                  <w:tabs>
                    <w:tab w:val="right" w:pos="9026"/>
                  </w:tabs>
                  <w:rPr>
                    <w:b/>
                    <w:color w:val="112F51" w:themeColor="text2" w:themeShade="BF"/>
                  </w:rPr>
                </w:pPr>
                <w:r>
                  <w:rPr>
                    <w:b/>
                    <w:color w:val="004E6C" w:themeColor="accent2" w:themeShade="80"/>
                  </w:rPr>
                  <w:lastRenderedPageBreak/>
                  <w:t>AC48 23/24</w:t>
                </w:r>
              </w:p>
              <w:p w14:paraId="3C3A7A4A" w14:textId="77777777" w:rsidR="005A25C6" w:rsidRPr="00EA3903" w:rsidRDefault="005A25C6" w:rsidP="005A25C6">
                <w:pPr>
                  <w:tabs>
                    <w:tab w:val="right" w:pos="9026"/>
                  </w:tabs>
                  <w:rPr>
                    <w:b/>
                    <w:color w:val="0075A2" w:themeColor="accent2" w:themeShade="BF"/>
                  </w:rPr>
                </w:pPr>
              </w:p>
              <w:p w14:paraId="2A724605" w14:textId="77777777" w:rsidR="005A25C6" w:rsidRPr="009F1A8C" w:rsidRDefault="005A25C6" w:rsidP="005A25C6">
                <w:pPr>
                  <w:tabs>
                    <w:tab w:val="right" w:pos="9026"/>
                  </w:tabs>
                  <w:rPr>
                    <w:b/>
                  </w:rPr>
                </w:pPr>
                <w:r w:rsidRPr="009F1A8C">
                  <w:rPr>
                    <w:b/>
                  </w:rPr>
                  <w:t>NIAO</w:t>
                </w:r>
              </w:p>
              <w:p w14:paraId="417FB018" w14:textId="77777777" w:rsidR="005A25C6" w:rsidRDefault="005A25C6" w:rsidP="005A25C6">
                <w:pPr>
                  <w:tabs>
                    <w:tab w:val="right" w:pos="9026"/>
                  </w:tabs>
                  <w:rPr>
                    <w:b/>
                    <w:color w:val="004E6C" w:themeColor="accent2" w:themeShade="80"/>
                  </w:rPr>
                </w:pPr>
              </w:p>
            </w:tc>
            <w:tc>
              <w:tcPr>
                <w:tcW w:w="4377" w:type="pct"/>
              </w:tcPr>
              <w:p w14:paraId="7CF4FF2F" w14:textId="77777777" w:rsidR="005A25C6" w:rsidRDefault="005A25C6" w:rsidP="005A25C6">
                <w:pPr>
                  <w:tabs>
                    <w:tab w:val="right" w:pos="9026"/>
                  </w:tabs>
                  <w:rPr>
                    <w:b/>
                  </w:rPr>
                </w:pPr>
                <w:r>
                  <w:rPr>
                    <w:b/>
                  </w:rPr>
                  <w:t>Northern Ireland Audit Office Business</w:t>
                </w:r>
              </w:p>
              <w:p w14:paraId="2A21DA36" w14:textId="77777777" w:rsidR="005A25C6" w:rsidRDefault="005A25C6" w:rsidP="005A25C6">
                <w:pPr>
                  <w:rPr>
                    <w:rFonts w:eastAsiaTheme="minorHAnsi"/>
                  </w:rPr>
                </w:pPr>
              </w:p>
              <w:p w14:paraId="6FBD1AD6" w14:textId="77777777" w:rsidR="005A25C6" w:rsidRDefault="005A25C6" w:rsidP="005A25C6">
                <w:pPr>
                  <w:rPr>
                    <w:rFonts w:eastAsiaTheme="minorHAnsi"/>
                  </w:rPr>
                </w:pPr>
                <w:r>
                  <w:rPr>
                    <w:rFonts w:eastAsiaTheme="minorHAnsi"/>
                  </w:rPr>
                  <w:t>The NIAO advised the ARAC on:</w:t>
                </w:r>
              </w:p>
              <w:p w14:paraId="44BB800C" w14:textId="77777777" w:rsidR="005A25C6" w:rsidRPr="005A25C6" w:rsidRDefault="005A25C6" w:rsidP="005A25C6">
                <w:pPr>
                  <w:rPr>
                    <w:rFonts w:eastAsiaTheme="minorHAnsi"/>
                  </w:rPr>
                </w:pPr>
              </w:p>
              <w:p w14:paraId="682C3362" w14:textId="77777777" w:rsidR="005A25C6" w:rsidRPr="00DB1A5A" w:rsidRDefault="005A25C6" w:rsidP="005A25C6">
                <w:pPr>
                  <w:pStyle w:val="ListParagraph"/>
                  <w:numPr>
                    <w:ilvl w:val="0"/>
                    <w:numId w:val="39"/>
                  </w:numPr>
                  <w:rPr>
                    <w:rFonts w:eastAsiaTheme="minorHAnsi"/>
                  </w:rPr>
                </w:pPr>
                <w:r>
                  <w:rPr>
                    <w:bCs/>
                  </w:rPr>
                  <w:t>Report To Those Charged With Governance 2022/23 FINAL;</w:t>
                </w:r>
              </w:p>
              <w:p w14:paraId="126A8EB6" w14:textId="77777777" w:rsidR="00DB1A5A" w:rsidRPr="005A25C6" w:rsidRDefault="00DB1A5A" w:rsidP="00DB1A5A">
                <w:pPr>
                  <w:pStyle w:val="ListParagraph"/>
                  <w:rPr>
                    <w:rFonts w:eastAsiaTheme="minorHAnsi"/>
                  </w:rPr>
                </w:pPr>
              </w:p>
              <w:p w14:paraId="02BC2D71" w14:textId="510FC3BD" w:rsidR="005A25C6" w:rsidRPr="00DB1A5A" w:rsidRDefault="005A25C6" w:rsidP="005A25C6">
                <w:pPr>
                  <w:pStyle w:val="ListParagraph"/>
                  <w:numPr>
                    <w:ilvl w:val="0"/>
                    <w:numId w:val="39"/>
                  </w:numPr>
                  <w:rPr>
                    <w:rFonts w:eastAsiaTheme="minorHAnsi"/>
                  </w:rPr>
                </w:pPr>
                <w:r>
                  <w:t>Audit Planning for the 2023/24 Annual Report and Financial Statements</w:t>
                </w:r>
                <w:r w:rsidR="00BB4C86">
                  <w:t>; and,</w:t>
                </w:r>
              </w:p>
              <w:p w14:paraId="79F64DB3" w14:textId="77777777" w:rsidR="00DB1A5A" w:rsidRPr="00DB1A5A" w:rsidRDefault="00DB1A5A" w:rsidP="00DB1A5A">
                <w:pPr>
                  <w:rPr>
                    <w:rFonts w:eastAsiaTheme="minorHAnsi"/>
                  </w:rPr>
                </w:pPr>
              </w:p>
              <w:p w14:paraId="4E8DB345" w14:textId="6BB1014D" w:rsidR="00BB4C86" w:rsidRPr="005A25C6" w:rsidRDefault="00BB4C86" w:rsidP="005A25C6">
                <w:pPr>
                  <w:pStyle w:val="ListParagraph"/>
                  <w:numPr>
                    <w:ilvl w:val="0"/>
                    <w:numId w:val="39"/>
                  </w:numPr>
                  <w:rPr>
                    <w:rFonts w:eastAsiaTheme="minorHAnsi"/>
                  </w:rPr>
                </w:pPr>
                <w:r>
                  <w:t xml:space="preserve">the timing of the fieldwork for the audit relating to the March 2024 </w:t>
                </w:r>
                <w:proofErr w:type="spellStart"/>
                <w:r>
                  <w:t>year end</w:t>
                </w:r>
                <w:proofErr w:type="spellEnd"/>
                <w:r>
                  <w:t xml:space="preserve"> financial statements</w:t>
                </w:r>
                <w:r w:rsidR="00A41D67">
                  <w:t xml:space="preserve"> and the relationship for the audit of the July year-end financial statements.</w:t>
                </w:r>
              </w:p>
              <w:p w14:paraId="0827FEAD" w14:textId="77777777" w:rsidR="005A25C6" w:rsidRDefault="005A25C6" w:rsidP="005A25C6">
                <w:pPr>
                  <w:rPr>
                    <w:rFonts w:eastAsiaTheme="minorHAnsi"/>
                  </w:rPr>
                </w:pPr>
              </w:p>
              <w:p w14:paraId="449F7F3D" w14:textId="47782EE6" w:rsidR="00DB1A5A" w:rsidRDefault="00DB1A5A" w:rsidP="005A25C6">
                <w:pPr>
                  <w:rPr>
                    <w:rFonts w:eastAsiaTheme="minorHAnsi"/>
                  </w:rPr>
                </w:pPr>
                <w:r>
                  <w:rPr>
                    <w:rFonts w:eastAsiaTheme="minorHAnsi"/>
                  </w:rPr>
                  <w:t>The Committee sought further information on the alignment of budgets and financial reporting with fiscal years – Management advised that the target transition will be March 2025.</w:t>
                </w:r>
              </w:p>
              <w:p w14:paraId="287F7811" w14:textId="77777777" w:rsidR="00DB1A5A" w:rsidRPr="005A25C6" w:rsidRDefault="00DB1A5A" w:rsidP="005A25C6">
                <w:pPr>
                  <w:rPr>
                    <w:rFonts w:eastAsiaTheme="minorHAnsi"/>
                  </w:rPr>
                </w:pPr>
              </w:p>
              <w:p w14:paraId="0161F64A" w14:textId="05AA9657" w:rsidR="005A25C6" w:rsidRDefault="005A25C6" w:rsidP="005A25C6">
                <w:pPr>
                  <w:rPr>
                    <w:bCs/>
                  </w:rPr>
                </w:pPr>
                <w:r w:rsidRPr="00070459">
                  <w:rPr>
                    <w:bCs/>
                  </w:rPr>
                  <w:t>The Committee</w:t>
                </w:r>
                <w:r w:rsidRPr="00070459">
                  <w:rPr>
                    <w:b/>
                    <w:u w:val="single"/>
                  </w:rPr>
                  <w:t xml:space="preserve"> note</w:t>
                </w:r>
                <w:r>
                  <w:rPr>
                    <w:b/>
                    <w:u w:val="single"/>
                  </w:rPr>
                  <w:t>d</w:t>
                </w:r>
                <w:r w:rsidRPr="00070459">
                  <w:rPr>
                    <w:bCs/>
                  </w:rPr>
                  <w:t xml:space="preserve"> the</w:t>
                </w:r>
                <w:r>
                  <w:rPr>
                    <w:bCs/>
                  </w:rPr>
                  <w:t xml:space="preserve"> information provided by the NIAO</w:t>
                </w:r>
                <w:r w:rsidR="00A41D67">
                  <w:rPr>
                    <w:bCs/>
                  </w:rPr>
                  <w:t xml:space="preserve"> </w:t>
                </w:r>
                <w:r w:rsidR="00DB1A5A">
                  <w:rPr>
                    <w:bCs/>
                  </w:rPr>
                  <w:t>and Management.</w:t>
                </w:r>
              </w:p>
              <w:p w14:paraId="5A936075" w14:textId="68A9B8BA" w:rsidR="005A25C6" w:rsidRPr="00BB4C86" w:rsidRDefault="005A25C6" w:rsidP="00BB4C86">
                <w:pPr>
                  <w:rPr>
                    <w:rFonts w:eastAsiaTheme="minorHAnsi"/>
                  </w:rPr>
                </w:pPr>
                <w:r w:rsidRPr="00070459">
                  <w:rPr>
                    <w:bCs/>
                  </w:rPr>
                  <w:t>.</w:t>
                </w:r>
              </w:p>
            </w:tc>
          </w:tr>
          <w:tr w:rsidR="005A25C6" w14:paraId="6322D931" w14:textId="4A938A6C" w:rsidTr="00AA618D">
            <w:tc>
              <w:tcPr>
                <w:tcW w:w="623" w:type="pct"/>
              </w:tcPr>
              <w:p w14:paraId="1D95E80F" w14:textId="4B6FFAD6" w:rsidR="005A25C6" w:rsidRPr="00EA3903" w:rsidRDefault="005A25C6" w:rsidP="005A25C6">
                <w:pPr>
                  <w:tabs>
                    <w:tab w:val="right" w:pos="9026"/>
                  </w:tabs>
                  <w:rPr>
                    <w:b/>
                    <w:color w:val="0075A2" w:themeColor="accent2" w:themeShade="BF"/>
                  </w:rPr>
                </w:pPr>
                <w:r>
                  <w:rPr>
                    <w:b/>
                    <w:color w:val="004E6C" w:themeColor="accent2" w:themeShade="80"/>
                  </w:rPr>
                  <w:t>AC49 23/24</w:t>
                </w:r>
              </w:p>
              <w:p w14:paraId="680B4316" w14:textId="26FA2A64" w:rsidR="005A25C6" w:rsidRPr="00155E54" w:rsidRDefault="005A25C6" w:rsidP="005A25C6">
                <w:pPr>
                  <w:tabs>
                    <w:tab w:val="right" w:pos="9026"/>
                  </w:tabs>
                  <w:rPr>
                    <w:b/>
                  </w:rPr>
                </w:pPr>
                <w:r w:rsidRPr="00155E54">
                  <w:rPr>
                    <w:b/>
                  </w:rPr>
                  <w:t>RSMUK</w:t>
                </w:r>
              </w:p>
              <w:p w14:paraId="30DE2FEC" w14:textId="77777777" w:rsidR="005A25C6" w:rsidRDefault="005A25C6" w:rsidP="005A25C6">
                <w:pPr>
                  <w:tabs>
                    <w:tab w:val="right" w:pos="9026"/>
                  </w:tabs>
                  <w:rPr>
                    <w:b/>
                    <w:color w:val="0075A2" w:themeColor="accent2" w:themeShade="BF"/>
                  </w:rPr>
                </w:pPr>
              </w:p>
              <w:p w14:paraId="56E14900" w14:textId="02949027" w:rsidR="005A25C6" w:rsidRPr="00852AF4" w:rsidRDefault="005A25C6" w:rsidP="005A25C6">
                <w:pPr>
                  <w:tabs>
                    <w:tab w:val="right" w:pos="9026"/>
                  </w:tabs>
                  <w:rPr>
                    <w:color w:val="0075A2" w:themeColor="accent2" w:themeShade="BF"/>
                  </w:rPr>
                </w:pPr>
              </w:p>
            </w:tc>
            <w:tc>
              <w:tcPr>
                <w:tcW w:w="4377" w:type="pct"/>
              </w:tcPr>
              <w:p w14:paraId="1BBA5DCB" w14:textId="2A252693" w:rsidR="005A25C6" w:rsidRPr="00083EFE" w:rsidRDefault="005A25C6" w:rsidP="0004125A">
                <w:pPr>
                  <w:tabs>
                    <w:tab w:val="right" w:pos="9026"/>
                  </w:tabs>
                  <w:rPr>
                    <w:rFonts w:asciiTheme="minorHAnsi" w:hAnsiTheme="minorHAnsi" w:cstheme="minorHAnsi"/>
                    <w:b/>
                  </w:rPr>
                </w:pPr>
                <w:r w:rsidRPr="00083EFE">
                  <w:rPr>
                    <w:rFonts w:asciiTheme="minorHAnsi" w:hAnsiTheme="minorHAnsi" w:cstheme="minorHAnsi"/>
                    <w:b/>
                  </w:rPr>
                  <w:t>Internal Audit Business</w:t>
                </w:r>
              </w:p>
              <w:p w14:paraId="2B9BC023" w14:textId="2317CB9D" w:rsidR="005A25C6" w:rsidRPr="00083EFE" w:rsidRDefault="005A25C6" w:rsidP="0004125A">
                <w:pPr>
                  <w:rPr>
                    <w:rFonts w:asciiTheme="minorHAnsi" w:hAnsiTheme="minorHAnsi" w:cstheme="minorHAnsi"/>
                  </w:rPr>
                </w:pPr>
                <w:r>
                  <w:rPr>
                    <w:rFonts w:asciiTheme="minorHAnsi" w:hAnsiTheme="minorHAnsi" w:cstheme="minorHAnsi"/>
                  </w:rPr>
                  <w:t xml:space="preserve"> </w:t>
                </w:r>
              </w:p>
              <w:p w14:paraId="7DF5E993" w14:textId="10EFCFB5" w:rsidR="0004125A" w:rsidRDefault="004B57E8" w:rsidP="0004125A">
                <w:pPr>
                  <w:pStyle w:val="NormalWeb"/>
                  <w:numPr>
                    <w:ilvl w:val="0"/>
                    <w:numId w:val="41"/>
                  </w:numPr>
                  <w:shd w:val="clear" w:color="auto" w:fill="FFFFFF"/>
                  <w:spacing w:before="0" w:beforeAutospacing="0" w:after="0" w:afterAutospacing="0"/>
                  <w:rPr>
                    <w:rFonts w:asciiTheme="minorHAnsi" w:hAnsiTheme="minorHAnsi" w:cstheme="minorHAnsi"/>
                    <w:color w:val="161B1C"/>
                    <w:sz w:val="22"/>
                    <w:szCs w:val="22"/>
                  </w:rPr>
                </w:pPr>
                <w:r>
                  <w:rPr>
                    <w:rFonts w:asciiTheme="minorHAnsi" w:hAnsiTheme="minorHAnsi" w:cstheme="minorHAnsi"/>
                    <w:color w:val="161B1C"/>
                    <w:sz w:val="22"/>
                    <w:szCs w:val="22"/>
                  </w:rPr>
                  <w:t>Internal Audit Progress Report March 2024</w:t>
                </w:r>
                <w:r w:rsidR="0073404F">
                  <w:rPr>
                    <w:rFonts w:asciiTheme="minorHAnsi" w:hAnsiTheme="minorHAnsi" w:cstheme="minorHAnsi"/>
                    <w:color w:val="161B1C"/>
                    <w:sz w:val="22"/>
                    <w:szCs w:val="22"/>
                  </w:rPr>
                  <w:t xml:space="preserve"> and update on forthcoming reviews;</w:t>
                </w:r>
              </w:p>
              <w:p w14:paraId="67CE830B" w14:textId="77777777" w:rsidR="0004125A" w:rsidRDefault="0004125A" w:rsidP="0004125A">
                <w:pPr>
                  <w:pStyle w:val="NormalWeb"/>
                  <w:shd w:val="clear" w:color="auto" w:fill="FFFFFF"/>
                  <w:spacing w:before="0" w:beforeAutospacing="0" w:after="0" w:afterAutospacing="0"/>
                  <w:rPr>
                    <w:rFonts w:asciiTheme="minorHAnsi" w:hAnsiTheme="minorHAnsi" w:cstheme="minorHAnsi"/>
                    <w:color w:val="161B1C"/>
                    <w:sz w:val="22"/>
                    <w:szCs w:val="22"/>
                  </w:rPr>
                </w:pPr>
              </w:p>
              <w:p w14:paraId="323C6DEE" w14:textId="7AE04A9D" w:rsidR="005A25C6" w:rsidRDefault="005A25C6" w:rsidP="0004125A">
                <w:pPr>
                  <w:pStyle w:val="NormalWeb"/>
                  <w:numPr>
                    <w:ilvl w:val="0"/>
                    <w:numId w:val="41"/>
                  </w:numPr>
                  <w:shd w:val="clear" w:color="auto" w:fill="FFFFFF"/>
                  <w:spacing w:before="0" w:beforeAutospacing="0" w:after="0" w:afterAutospacing="0"/>
                  <w:rPr>
                    <w:rFonts w:asciiTheme="minorHAnsi" w:hAnsiTheme="minorHAnsi" w:cstheme="minorHAnsi"/>
                    <w:color w:val="161B1C"/>
                    <w:sz w:val="22"/>
                    <w:szCs w:val="22"/>
                  </w:rPr>
                </w:pPr>
                <w:r w:rsidRPr="004B57E8">
                  <w:rPr>
                    <w:rFonts w:asciiTheme="minorHAnsi" w:hAnsiTheme="minorHAnsi" w:cstheme="minorHAnsi"/>
                    <w:color w:val="161B1C"/>
                    <w:sz w:val="22"/>
                    <w:szCs w:val="22"/>
                  </w:rPr>
                  <w:t>Budgetary Management for Revenue and Capital</w:t>
                </w:r>
                <w:r w:rsidR="00F11E42">
                  <w:rPr>
                    <w:rFonts w:asciiTheme="minorHAnsi" w:hAnsiTheme="minorHAnsi" w:cstheme="minorHAnsi"/>
                    <w:color w:val="161B1C"/>
                    <w:sz w:val="22"/>
                    <w:szCs w:val="22"/>
                  </w:rPr>
                  <w:t xml:space="preserve"> - </w:t>
                </w:r>
                <w:r w:rsidR="00A03F1D">
                  <w:rPr>
                    <w:rFonts w:asciiTheme="minorHAnsi" w:hAnsiTheme="minorHAnsi" w:cstheme="minorHAnsi"/>
                    <w:color w:val="161B1C"/>
                    <w:sz w:val="22"/>
                    <w:szCs w:val="22"/>
                  </w:rPr>
                  <w:t>satisfactory assurance with 1 low priority issue</w:t>
                </w:r>
                <w:r w:rsidR="00386B94">
                  <w:rPr>
                    <w:rFonts w:asciiTheme="minorHAnsi" w:hAnsiTheme="minorHAnsi" w:cstheme="minorHAnsi"/>
                    <w:color w:val="161B1C"/>
                    <w:sz w:val="22"/>
                    <w:szCs w:val="22"/>
                  </w:rPr>
                  <w:t xml:space="preserve"> relating to the timing of the identification of financial variances as </w:t>
                </w:r>
                <w:r w:rsidR="00895746">
                  <w:rPr>
                    <w:rFonts w:asciiTheme="minorHAnsi" w:hAnsiTheme="minorHAnsi" w:cstheme="minorHAnsi"/>
                    <w:color w:val="161B1C"/>
                    <w:sz w:val="22"/>
                    <w:szCs w:val="22"/>
                  </w:rPr>
                  <w:t>the budget forecasts were developed throughout the year</w:t>
                </w:r>
                <w:r w:rsidR="00A03F1D">
                  <w:rPr>
                    <w:rFonts w:asciiTheme="minorHAnsi" w:hAnsiTheme="minorHAnsi" w:cstheme="minorHAnsi"/>
                    <w:color w:val="161B1C"/>
                    <w:sz w:val="22"/>
                    <w:szCs w:val="22"/>
                  </w:rPr>
                  <w:t>;</w:t>
                </w:r>
              </w:p>
              <w:p w14:paraId="7BB06FF8" w14:textId="77777777" w:rsidR="0004125A" w:rsidRDefault="0004125A" w:rsidP="0004125A">
                <w:pPr>
                  <w:pStyle w:val="ListParagraph"/>
                  <w:rPr>
                    <w:rFonts w:asciiTheme="minorHAnsi" w:hAnsiTheme="minorHAnsi" w:cstheme="minorHAnsi"/>
                    <w:color w:val="161B1C"/>
                  </w:rPr>
                </w:pPr>
              </w:p>
              <w:p w14:paraId="3AC470B5" w14:textId="0C76CD72" w:rsidR="0004125A" w:rsidRDefault="0004125A" w:rsidP="0004125A">
                <w:pPr>
                  <w:pStyle w:val="NormalWeb"/>
                  <w:numPr>
                    <w:ilvl w:val="0"/>
                    <w:numId w:val="41"/>
                  </w:numPr>
                  <w:shd w:val="clear" w:color="auto" w:fill="FFFFFF"/>
                  <w:spacing w:before="0" w:beforeAutospacing="0" w:after="0" w:afterAutospacing="0"/>
                  <w:rPr>
                    <w:rFonts w:asciiTheme="minorHAnsi" w:hAnsiTheme="minorHAnsi" w:cstheme="minorHAnsi"/>
                    <w:color w:val="161B1C"/>
                    <w:sz w:val="22"/>
                    <w:szCs w:val="22"/>
                  </w:rPr>
                </w:pPr>
                <w:r w:rsidRPr="00083EFE">
                  <w:rPr>
                    <w:rFonts w:asciiTheme="minorHAnsi" w:hAnsiTheme="minorHAnsi" w:cstheme="minorHAnsi"/>
                    <w:color w:val="161B1C"/>
                    <w:sz w:val="22"/>
                    <w:szCs w:val="22"/>
                  </w:rPr>
                  <w:t xml:space="preserve">ASF Assessment and Funding </w:t>
                </w:r>
                <w:r>
                  <w:rPr>
                    <w:rFonts w:asciiTheme="minorHAnsi" w:hAnsiTheme="minorHAnsi" w:cstheme="minorHAnsi"/>
                    <w:color w:val="161B1C"/>
                    <w:sz w:val="22"/>
                    <w:szCs w:val="22"/>
                  </w:rPr>
                  <w:t>–</w:t>
                </w:r>
                <w:r w:rsidRPr="00083EFE">
                  <w:rPr>
                    <w:rFonts w:asciiTheme="minorHAnsi" w:hAnsiTheme="minorHAnsi" w:cstheme="minorHAnsi"/>
                    <w:color w:val="161B1C"/>
                    <w:sz w:val="22"/>
                    <w:szCs w:val="22"/>
                  </w:rPr>
                  <w:t xml:space="preserve"> FINAL</w:t>
                </w:r>
                <w:r>
                  <w:rPr>
                    <w:rFonts w:asciiTheme="minorHAnsi" w:hAnsiTheme="minorHAnsi" w:cstheme="minorHAnsi"/>
                    <w:color w:val="161B1C"/>
                    <w:sz w:val="22"/>
                    <w:szCs w:val="22"/>
                  </w:rPr>
                  <w:t xml:space="preserve"> – satisfactory assurance and 4 low priority issues arising;</w:t>
                </w:r>
                <w:r w:rsidR="00D00DAA">
                  <w:rPr>
                    <w:rFonts w:asciiTheme="minorHAnsi" w:hAnsiTheme="minorHAnsi" w:cstheme="minorHAnsi"/>
                    <w:color w:val="161B1C"/>
                    <w:sz w:val="22"/>
                    <w:szCs w:val="22"/>
                  </w:rPr>
                  <w:t xml:space="preserve"> and,</w:t>
                </w:r>
              </w:p>
              <w:p w14:paraId="1D24B416" w14:textId="77777777" w:rsidR="0004125A" w:rsidRDefault="0004125A" w:rsidP="0004125A">
                <w:pPr>
                  <w:pStyle w:val="ListParagraph"/>
                  <w:rPr>
                    <w:rFonts w:asciiTheme="minorHAnsi" w:hAnsiTheme="minorHAnsi" w:cstheme="minorHAnsi"/>
                    <w:color w:val="161B1C"/>
                  </w:rPr>
                </w:pPr>
              </w:p>
              <w:p w14:paraId="71379087" w14:textId="6E994AF8" w:rsidR="0004125A" w:rsidRPr="004B57E8" w:rsidRDefault="00E213DD" w:rsidP="0004125A">
                <w:pPr>
                  <w:pStyle w:val="NormalWeb"/>
                  <w:numPr>
                    <w:ilvl w:val="0"/>
                    <w:numId w:val="41"/>
                  </w:numPr>
                  <w:shd w:val="clear" w:color="auto" w:fill="FFFFFF"/>
                  <w:spacing w:before="0" w:beforeAutospacing="0" w:after="0" w:afterAutospacing="0"/>
                  <w:rPr>
                    <w:rFonts w:asciiTheme="minorHAnsi" w:hAnsiTheme="minorHAnsi" w:cstheme="minorHAnsi"/>
                    <w:color w:val="161B1C"/>
                    <w:sz w:val="22"/>
                    <w:szCs w:val="22"/>
                  </w:rPr>
                </w:pPr>
                <w:r>
                  <w:rPr>
                    <w:rFonts w:asciiTheme="minorHAnsi" w:hAnsiTheme="minorHAnsi" w:cstheme="minorHAnsi"/>
                    <w:color w:val="161B1C"/>
                    <w:sz w:val="22"/>
                    <w:szCs w:val="22"/>
                  </w:rPr>
                  <w:t>Risk Radar Report</w:t>
                </w:r>
                <w:r w:rsidR="00D00DAA">
                  <w:rPr>
                    <w:rFonts w:asciiTheme="minorHAnsi" w:hAnsiTheme="minorHAnsi" w:cstheme="minorHAnsi"/>
                    <w:color w:val="161B1C"/>
                    <w:sz w:val="22"/>
                    <w:szCs w:val="22"/>
                  </w:rPr>
                  <w:t xml:space="preserve"> – including </w:t>
                </w:r>
                <w:r w:rsidR="00AF5546">
                  <w:rPr>
                    <w:rFonts w:asciiTheme="minorHAnsi" w:hAnsiTheme="minorHAnsi" w:cstheme="minorHAnsi"/>
                    <w:color w:val="161B1C"/>
                    <w:sz w:val="22"/>
                    <w:szCs w:val="22"/>
                  </w:rPr>
                  <w:t xml:space="preserve">the UK-wide scope, </w:t>
                </w:r>
                <w:r w:rsidR="00D00DAA">
                  <w:rPr>
                    <w:rFonts w:asciiTheme="minorHAnsi" w:hAnsiTheme="minorHAnsi" w:cstheme="minorHAnsi"/>
                    <w:color w:val="161B1C"/>
                    <w:sz w:val="22"/>
                    <w:szCs w:val="22"/>
                  </w:rPr>
                  <w:t>methodology and findings.</w:t>
                </w:r>
              </w:p>
              <w:p w14:paraId="2323ABC1" w14:textId="77777777" w:rsidR="00CF4BC6" w:rsidRDefault="00CF4BC6" w:rsidP="0004125A">
                <w:pPr>
                  <w:rPr>
                    <w:rFonts w:asciiTheme="minorHAnsi" w:hAnsiTheme="minorHAnsi" w:cstheme="minorHAnsi"/>
                  </w:rPr>
                </w:pPr>
              </w:p>
              <w:p w14:paraId="2874CE41" w14:textId="78064220" w:rsidR="00F11E42" w:rsidRDefault="00F11E42" w:rsidP="0004125A">
                <w:pPr>
                  <w:rPr>
                    <w:rFonts w:asciiTheme="minorHAnsi" w:hAnsiTheme="minorHAnsi" w:cstheme="minorHAnsi"/>
                  </w:rPr>
                </w:pPr>
                <w:r>
                  <w:rPr>
                    <w:rFonts w:asciiTheme="minorHAnsi" w:hAnsiTheme="minorHAnsi" w:cstheme="minorHAnsi"/>
                  </w:rPr>
                  <w:t>The ARAC sought further background information on the service delivery issues affecting the management of the</w:t>
                </w:r>
                <w:r w:rsidR="00CF4BC6">
                  <w:rPr>
                    <w:rFonts w:asciiTheme="minorHAnsi" w:hAnsiTheme="minorHAnsi" w:cstheme="minorHAnsi"/>
                  </w:rPr>
                  <w:t xml:space="preserve"> financial </w:t>
                </w:r>
                <w:r>
                  <w:rPr>
                    <w:rFonts w:asciiTheme="minorHAnsi" w:hAnsiTheme="minorHAnsi" w:cstheme="minorHAnsi"/>
                  </w:rPr>
                  <w:t>variances</w:t>
                </w:r>
                <w:r w:rsidR="00CF4BC6">
                  <w:rPr>
                    <w:rFonts w:asciiTheme="minorHAnsi" w:hAnsiTheme="minorHAnsi" w:cstheme="minorHAnsi"/>
                  </w:rPr>
                  <w:t xml:space="preserve"> discussed at (b) above</w:t>
                </w:r>
                <w:r>
                  <w:rPr>
                    <w:rFonts w:asciiTheme="minorHAnsi" w:hAnsiTheme="minorHAnsi" w:cstheme="minorHAnsi"/>
                  </w:rPr>
                  <w:t>.</w:t>
                </w:r>
              </w:p>
              <w:p w14:paraId="6E278228" w14:textId="77777777" w:rsidR="00850DBF" w:rsidRDefault="00850DBF" w:rsidP="0004125A">
                <w:pPr>
                  <w:rPr>
                    <w:rFonts w:asciiTheme="minorHAnsi" w:hAnsiTheme="minorHAnsi" w:cstheme="minorHAnsi"/>
                  </w:rPr>
                </w:pPr>
              </w:p>
              <w:p w14:paraId="6497E5F2" w14:textId="40018712" w:rsidR="00850DBF" w:rsidRDefault="00850DBF" w:rsidP="0004125A">
                <w:pPr>
                  <w:rPr>
                    <w:rFonts w:asciiTheme="minorHAnsi" w:hAnsiTheme="minorHAnsi" w:cstheme="minorHAnsi"/>
                  </w:rPr>
                </w:pPr>
                <w:r>
                  <w:rPr>
                    <w:rFonts w:asciiTheme="minorHAnsi" w:hAnsiTheme="minorHAnsi" w:cstheme="minorHAnsi"/>
                  </w:rPr>
                  <w:t>Management advised that DfE were reviewing the allocation of ASF Funding across the sector.</w:t>
                </w:r>
              </w:p>
              <w:p w14:paraId="087418CB" w14:textId="77777777" w:rsidR="003962C3" w:rsidRDefault="003962C3" w:rsidP="0004125A">
                <w:pPr>
                  <w:rPr>
                    <w:rFonts w:asciiTheme="minorHAnsi" w:hAnsiTheme="minorHAnsi" w:cstheme="minorHAnsi"/>
                  </w:rPr>
                </w:pPr>
              </w:p>
              <w:p w14:paraId="21B131F3" w14:textId="7DC535BE" w:rsidR="003962C3" w:rsidRDefault="003962C3" w:rsidP="0004125A">
                <w:pPr>
                  <w:rPr>
                    <w:rFonts w:asciiTheme="minorHAnsi" w:hAnsiTheme="minorHAnsi" w:cstheme="minorHAnsi"/>
                  </w:rPr>
                </w:pPr>
                <w:r>
                  <w:rPr>
                    <w:rFonts w:asciiTheme="minorHAnsi" w:hAnsiTheme="minorHAnsi" w:cstheme="minorHAnsi"/>
                  </w:rPr>
                  <w:t xml:space="preserve">The Committee and Management discussed the potential risks to FE service delivery and FE governance arising from the </w:t>
                </w:r>
                <w:r w:rsidR="00ED06D2">
                  <w:rPr>
                    <w:rFonts w:asciiTheme="minorHAnsi" w:hAnsiTheme="minorHAnsi" w:cstheme="minorHAnsi"/>
                  </w:rPr>
                  <w:t>development of AI.</w:t>
                </w:r>
                <w:r w:rsidR="00A20C87">
                  <w:rPr>
                    <w:rFonts w:asciiTheme="minorHAnsi" w:hAnsiTheme="minorHAnsi" w:cstheme="minorHAnsi"/>
                  </w:rPr>
                  <w:t xml:space="preserve">  Management will provide a briefing to the ARAC on the management of cyber and AI risk at the governance meeting in June 2024.</w:t>
                </w:r>
              </w:p>
              <w:p w14:paraId="7AD7175B" w14:textId="77777777" w:rsidR="00F11E42" w:rsidRDefault="00F11E42" w:rsidP="0004125A">
                <w:pPr>
                  <w:rPr>
                    <w:rFonts w:asciiTheme="minorHAnsi" w:hAnsiTheme="minorHAnsi" w:cstheme="minorHAnsi"/>
                  </w:rPr>
                </w:pPr>
              </w:p>
              <w:p w14:paraId="1B4A1058" w14:textId="241954CE" w:rsidR="005A25C6" w:rsidRPr="00083EFE" w:rsidRDefault="005A25C6" w:rsidP="0004125A">
                <w:pPr>
                  <w:rPr>
                    <w:rFonts w:asciiTheme="minorHAnsi" w:hAnsiTheme="minorHAnsi" w:cstheme="minorHAnsi"/>
                  </w:rPr>
                </w:pPr>
                <w:r w:rsidRPr="00083EFE">
                  <w:rPr>
                    <w:rFonts w:asciiTheme="minorHAnsi" w:hAnsiTheme="minorHAnsi" w:cstheme="minorHAnsi"/>
                  </w:rPr>
                  <w:t xml:space="preserve">The Committee </w:t>
                </w:r>
                <w:r w:rsidRPr="00083EFE">
                  <w:rPr>
                    <w:rFonts w:asciiTheme="minorHAnsi" w:hAnsiTheme="minorHAnsi" w:cstheme="minorHAnsi"/>
                    <w:b/>
                    <w:bCs/>
                    <w:u w:val="single"/>
                  </w:rPr>
                  <w:t>note</w:t>
                </w:r>
                <w:r w:rsidR="001354B0">
                  <w:rPr>
                    <w:rFonts w:asciiTheme="minorHAnsi" w:hAnsiTheme="minorHAnsi" w:cstheme="minorHAnsi"/>
                    <w:b/>
                    <w:bCs/>
                    <w:u w:val="single"/>
                  </w:rPr>
                  <w:t>d</w:t>
                </w:r>
                <w:r w:rsidRPr="00083EFE">
                  <w:rPr>
                    <w:rFonts w:asciiTheme="minorHAnsi" w:hAnsiTheme="minorHAnsi" w:cstheme="minorHAnsi"/>
                  </w:rPr>
                  <w:t xml:space="preserve"> the information provided by Internal Audit and Management’s responses to Internal Audit recommendations.</w:t>
                </w:r>
              </w:p>
              <w:p w14:paraId="2CA57915" w14:textId="77777777" w:rsidR="005A25C6" w:rsidRDefault="005A25C6" w:rsidP="005A25C6">
                <w:pPr>
                  <w:tabs>
                    <w:tab w:val="right" w:pos="9026"/>
                  </w:tabs>
                </w:pPr>
              </w:p>
            </w:tc>
          </w:tr>
          <w:tr w:rsidR="005A25C6" w14:paraId="3A69713B" w14:textId="5A25929F" w:rsidTr="00AA618D">
            <w:tc>
              <w:tcPr>
                <w:tcW w:w="623" w:type="pct"/>
              </w:tcPr>
              <w:p w14:paraId="57A49C8D" w14:textId="78086AC3" w:rsidR="005A25C6" w:rsidRPr="00FE591F" w:rsidRDefault="005A25C6" w:rsidP="005A25C6">
                <w:pPr>
                  <w:tabs>
                    <w:tab w:val="right" w:pos="9026"/>
                  </w:tabs>
                  <w:rPr>
                    <w:b/>
                    <w:color w:val="0B5294" w:themeColor="accent1" w:themeShade="BF"/>
                  </w:rPr>
                </w:pPr>
                <w:r>
                  <w:rPr>
                    <w:b/>
                    <w:color w:val="004E6C" w:themeColor="accent2" w:themeShade="80"/>
                  </w:rPr>
                  <w:lastRenderedPageBreak/>
                  <w:t>AC50 23/24</w:t>
                </w:r>
              </w:p>
              <w:p w14:paraId="6116C1E2" w14:textId="77777777" w:rsidR="005A25C6" w:rsidRDefault="005A25C6" w:rsidP="005A25C6">
                <w:pPr>
                  <w:tabs>
                    <w:tab w:val="right" w:pos="9026"/>
                  </w:tabs>
                  <w:rPr>
                    <w:b/>
                    <w:color w:val="0075A2" w:themeColor="accent2" w:themeShade="BF"/>
                  </w:rPr>
                </w:pPr>
              </w:p>
              <w:p w14:paraId="4118F430" w14:textId="1130CACB" w:rsidR="005A25C6" w:rsidRPr="00155E54" w:rsidRDefault="005A25C6" w:rsidP="005A25C6">
                <w:pPr>
                  <w:tabs>
                    <w:tab w:val="right" w:pos="9026"/>
                  </w:tabs>
                  <w:rPr>
                    <w:b/>
                  </w:rPr>
                </w:pPr>
                <w:proofErr w:type="spellStart"/>
                <w:r>
                  <w:rPr>
                    <w:b/>
                  </w:rPr>
                  <w:t>DHoF</w:t>
                </w:r>
                <w:proofErr w:type="spellEnd"/>
              </w:p>
              <w:p w14:paraId="7A59DD1A" w14:textId="755C9D4A" w:rsidR="005A25C6" w:rsidRPr="00731916" w:rsidRDefault="005A25C6" w:rsidP="005A25C6">
                <w:pPr>
                  <w:tabs>
                    <w:tab w:val="right" w:pos="9026"/>
                  </w:tabs>
                  <w:rPr>
                    <w:b/>
                    <w:color w:val="112F51" w:themeColor="text2" w:themeShade="BF"/>
                  </w:rPr>
                </w:pPr>
                <w:r w:rsidRPr="00155E54">
                  <w:rPr>
                    <w:b/>
                  </w:rPr>
                  <w:t>HCD</w:t>
                </w:r>
              </w:p>
            </w:tc>
            <w:tc>
              <w:tcPr>
                <w:tcW w:w="4377" w:type="pct"/>
              </w:tcPr>
              <w:p w14:paraId="7D0B2780" w14:textId="3C990887" w:rsidR="005A25C6" w:rsidRPr="00B25498" w:rsidRDefault="005A25C6" w:rsidP="005A25C6">
                <w:pPr>
                  <w:rPr>
                    <w:rFonts w:ascii="Arial" w:hAnsi="Arial" w:cs="Arial"/>
                    <w:b/>
                    <w:sz w:val="24"/>
                    <w:szCs w:val="24"/>
                  </w:rPr>
                </w:pPr>
                <w:r w:rsidRPr="003412DC">
                  <w:rPr>
                    <w:b/>
                  </w:rPr>
                  <w:t xml:space="preserve">Compliance Reporting </w:t>
                </w:r>
                <w:r>
                  <w:rPr>
                    <w:b/>
                  </w:rPr>
                  <w:t>for Q2 2023/24</w:t>
                </w:r>
              </w:p>
              <w:p w14:paraId="2FF75103" w14:textId="77777777" w:rsidR="005A25C6" w:rsidRPr="00D96971" w:rsidRDefault="005A25C6" w:rsidP="005A25C6">
                <w:pPr>
                  <w:tabs>
                    <w:tab w:val="right" w:pos="9026"/>
                  </w:tabs>
                </w:pPr>
              </w:p>
              <w:p w14:paraId="3DEBAF24" w14:textId="3C1B0ACD" w:rsidR="005A25C6" w:rsidRPr="00D96971" w:rsidRDefault="005A25C6" w:rsidP="005A25C6">
                <w:pPr>
                  <w:pStyle w:val="ListParagraph"/>
                  <w:numPr>
                    <w:ilvl w:val="0"/>
                    <w:numId w:val="1"/>
                  </w:numPr>
                  <w:rPr>
                    <w:rFonts w:eastAsia="Times New Roman" w:cs="Arial"/>
                    <w:bCs/>
                  </w:rPr>
                </w:pPr>
                <w:r w:rsidRPr="00D96971">
                  <w:rPr>
                    <w:rFonts w:eastAsia="Times New Roman" w:cs="Arial"/>
                    <w:bCs/>
                  </w:rPr>
                  <w:t>Losses and special payments</w:t>
                </w:r>
                <w:r w:rsidR="00E4562F">
                  <w:rPr>
                    <w:rFonts w:eastAsia="Times New Roman" w:cs="Arial"/>
                    <w:bCs/>
                  </w:rPr>
                  <w:t xml:space="preserve"> – nil return</w:t>
                </w:r>
                <w:r>
                  <w:rPr>
                    <w:rFonts w:eastAsia="Times New Roman" w:cs="Arial"/>
                    <w:bCs/>
                  </w:rPr>
                  <w:t>;</w:t>
                </w:r>
              </w:p>
              <w:p w14:paraId="15AAC3C2" w14:textId="6BCAEE58" w:rsidR="005A25C6" w:rsidRPr="00D96971" w:rsidRDefault="005A25C6" w:rsidP="005A25C6">
                <w:pPr>
                  <w:pStyle w:val="ListParagraph"/>
                  <w:numPr>
                    <w:ilvl w:val="0"/>
                    <w:numId w:val="1"/>
                  </w:numPr>
                  <w:rPr>
                    <w:rFonts w:eastAsia="Times New Roman" w:cs="Arial"/>
                    <w:bCs/>
                  </w:rPr>
                </w:pPr>
                <w:r w:rsidRPr="00D96971">
                  <w:rPr>
                    <w:rFonts w:eastAsia="Times New Roman" w:cs="Arial"/>
                    <w:bCs/>
                  </w:rPr>
                  <w:t>Direct Award Contracts</w:t>
                </w:r>
                <w:r w:rsidR="000B2132">
                  <w:rPr>
                    <w:rFonts w:eastAsia="Times New Roman" w:cs="Arial"/>
                    <w:bCs/>
                  </w:rPr>
                  <w:t xml:space="preserve"> – nil return</w:t>
                </w:r>
                <w:r>
                  <w:rPr>
                    <w:rFonts w:eastAsia="Times New Roman" w:cs="Arial"/>
                    <w:bCs/>
                  </w:rPr>
                  <w:t>;</w:t>
                </w:r>
              </w:p>
              <w:p w14:paraId="5324AE7C" w14:textId="42BF0F0B" w:rsidR="005A25C6" w:rsidRPr="00EA3903" w:rsidRDefault="005A25C6" w:rsidP="005A25C6">
                <w:pPr>
                  <w:pStyle w:val="ListParagraph"/>
                  <w:numPr>
                    <w:ilvl w:val="0"/>
                    <w:numId w:val="1"/>
                  </w:numPr>
                  <w:rPr>
                    <w:rFonts w:eastAsia="Times New Roman" w:cs="Arial"/>
                    <w:bCs/>
                  </w:rPr>
                </w:pPr>
                <w:r w:rsidRPr="00D96971">
                  <w:rPr>
                    <w:rFonts w:eastAsia="Times New Roman" w:cs="Arial"/>
                    <w:bCs/>
                  </w:rPr>
                  <w:t>Register of Gifts and Hospitalit</w:t>
                </w:r>
                <w:r>
                  <w:rPr>
                    <w:rFonts w:eastAsia="Times New Roman" w:cs="Arial"/>
                    <w:bCs/>
                  </w:rPr>
                  <w:t>y</w:t>
                </w:r>
                <w:r w:rsidR="00BA01BC">
                  <w:rPr>
                    <w:rFonts w:eastAsia="Times New Roman" w:cs="Arial"/>
                    <w:bCs/>
                  </w:rPr>
                  <w:t xml:space="preserve"> – nil return</w:t>
                </w:r>
                <w:r>
                  <w:rPr>
                    <w:rFonts w:eastAsia="Times New Roman" w:cs="Arial"/>
                    <w:bCs/>
                  </w:rPr>
                  <w:t>;</w:t>
                </w:r>
              </w:p>
              <w:p w14:paraId="4146B00D" w14:textId="011317D9" w:rsidR="005A25C6" w:rsidRPr="00D96971" w:rsidRDefault="005A25C6" w:rsidP="005A25C6">
                <w:pPr>
                  <w:pStyle w:val="ListParagraph"/>
                  <w:numPr>
                    <w:ilvl w:val="0"/>
                    <w:numId w:val="1"/>
                  </w:numPr>
                  <w:rPr>
                    <w:rFonts w:eastAsia="Times New Roman" w:cs="Arial"/>
                    <w:bCs/>
                  </w:rPr>
                </w:pPr>
                <w:r w:rsidRPr="00D96971">
                  <w:rPr>
                    <w:rFonts w:eastAsia="Times New Roman" w:cs="Arial"/>
                    <w:bCs/>
                  </w:rPr>
                  <w:t>Whistleblowing Notifications</w:t>
                </w:r>
                <w:r w:rsidR="00E4562F">
                  <w:rPr>
                    <w:rFonts w:eastAsia="Times New Roman" w:cs="Arial"/>
                    <w:bCs/>
                  </w:rPr>
                  <w:t xml:space="preserve"> – nil return b</w:t>
                </w:r>
                <w:r w:rsidR="00BA01BC">
                  <w:rPr>
                    <w:rFonts w:eastAsia="Times New Roman" w:cs="Arial"/>
                    <w:bCs/>
                  </w:rPr>
                  <w:t>ut</w:t>
                </w:r>
                <w:r w:rsidR="00E4562F">
                  <w:rPr>
                    <w:rFonts w:eastAsia="Times New Roman" w:cs="Arial"/>
                    <w:bCs/>
                  </w:rPr>
                  <w:t xml:space="preserve"> 1 potential issue was formally assessed by Management and found not to meet the reporting threshold</w:t>
                </w:r>
                <w:r>
                  <w:rPr>
                    <w:rFonts w:eastAsia="Times New Roman" w:cs="Arial"/>
                    <w:bCs/>
                  </w:rPr>
                  <w:t>;</w:t>
                </w:r>
                <w:r w:rsidRPr="00D96971">
                  <w:rPr>
                    <w:rFonts w:eastAsia="Times New Roman" w:cs="Arial"/>
                    <w:bCs/>
                  </w:rPr>
                  <w:t xml:space="preserve"> </w:t>
                </w:r>
                <w:r>
                  <w:rPr>
                    <w:rFonts w:eastAsia="Times New Roman" w:cs="Arial"/>
                    <w:bCs/>
                  </w:rPr>
                  <w:t xml:space="preserve">and, </w:t>
                </w:r>
              </w:p>
              <w:p w14:paraId="4FDCB6DE" w14:textId="6DA3C231" w:rsidR="005A25C6" w:rsidRPr="00D96971" w:rsidRDefault="005A25C6" w:rsidP="005A25C6">
                <w:pPr>
                  <w:pStyle w:val="ListParagraph"/>
                  <w:numPr>
                    <w:ilvl w:val="0"/>
                    <w:numId w:val="1"/>
                  </w:numPr>
                  <w:rPr>
                    <w:rFonts w:eastAsia="Times New Roman" w:cs="Arial"/>
                    <w:bCs/>
                  </w:rPr>
                </w:pPr>
                <w:r w:rsidRPr="00D96971">
                  <w:rPr>
                    <w:rFonts w:eastAsia="Times New Roman" w:cs="Arial"/>
                    <w:bCs/>
                  </w:rPr>
                  <w:t>Register of Data Breaches</w:t>
                </w:r>
                <w:r w:rsidR="00E4562F">
                  <w:rPr>
                    <w:rFonts w:eastAsia="Times New Roman" w:cs="Arial"/>
                    <w:bCs/>
                  </w:rPr>
                  <w:t xml:space="preserve"> – 1 confirmed data breach advised</w:t>
                </w:r>
                <w:r w:rsidR="002100A5">
                  <w:rPr>
                    <w:rFonts w:eastAsia="Times New Roman" w:cs="Arial"/>
                    <w:bCs/>
                  </w:rPr>
                  <w:t xml:space="preserve"> and successfully managed and closed by Management</w:t>
                </w:r>
                <w:r w:rsidR="00E4562F">
                  <w:rPr>
                    <w:rFonts w:eastAsia="Times New Roman" w:cs="Arial"/>
                    <w:bCs/>
                  </w:rPr>
                  <w:t>.</w:t>
                </w:r>
              </w:p>
              <w:p w14:paraId="61603BD0" w14:textId="77777777" w:rsidR="005A25C6" w:rsidRPr="00944E7E" w:rsidRDefault="005A25C6" w:rsidP="005A25C6">
                <w:pPr>
                  <w:tabs>
                    <w:tab w:val="left" w:pos="4690"/>
                  </w:tabs>
                </w:pPr>
                <w:r>
                  <w:tab/>
                </w:r>
              </w:p>
              <w:p w14:paraId="43E37A3F" w14:textId="4B54EA34" w:rsidR="005A25C6" w:rsidRPr="003412DC" w:rsidRDefault="005A25C6" w:rsidP="005A25C6">
                <w:pPr>
                  <w:tabs>
                    <w:tab w:val="right" w:pos="9026"/>
                  </w:tabs>
                </w:pPr>
                <w:r>
                  <w:t xml:space="preserve">The Committee </w:t>
                </w:r>
                <w:r w:rsidRPr="00E46745">
                  <w:rPr>
                    <w:b/>
                    <w:u w:val="single"/>
                  </w:rPr>
                  <w:t>consider</w:t>
                </w:r>
                <w:r w:rsidR="00BA01BC">
                  <w:rPr>
                    <w:b/>
                    <w:u w:val="single"/>
                  </w:rPr>
                  <w:t>ed</w:t>
                </w:r>
                <w:r>
                  <w:t xml:space="preserve"> and </w:t>
                </w:r>
                <w:r w:rsidRPr="00E46745">
                  <w:rPr>
                    <w:b/>
                    <w:u w:val="single"/>
                  </w:rPr>
                  <w:t>note</w:t>
                </w:r>
                <w:r w:rsidR="00BA01BC">
                  <w:rPr>
                    <w:b/>
                    <w:u w:val="single"/>
                  </w:rPr>
                  <w:t>d</w:t>
                </w:r>
                <w:r>
                  <w:t xml:space="preserve"> the information provided by and the action taken by Management.</w:t>
                </w:r>
              </w:p>
              <w:p w14:paraId="648416BE" w14:textId="77777777" w:rsidR="005A25C6" w:rsidRDefault="005A25C6" w:rsidP="005A25C6">
                <w:pPr>
                  <w:tabs>
                    <w:tab w:val="right" w:pos="9026"/>
                  </w:tabs>
                  <w:rPr>
                    <w:b/>
                  </w:rPr>
                </w:pPr>
              </w:p>
            </w:tc>
          </w:tr>
          <w:tr w:rsidR="005A25C6" w14:paraId="764B6F13" w14:textId="24F57779" w:rsidTr="00AA618D">
            <w:tc>
              <w:tcPr>
                <w:tcW w:w="623" w:type="pct"/>
              </w:tcPr>
              <w:p w14:paraId="63D0BEC7" w14:textId="16FD7E0A" w:rsidR="005A25C6" w:rsidRDefault="005A25C6" w:rsidP="005A25C6">
                <w:pPr>
                  <w:tabs>
                    <w:tab w:val="right" w:pos="9026"/>
                  </w:tabs>
                  <w:rPr>
                    <w:b/>
                    <w:color w:val="004E6C" w:themeColor="accent2" w:themeShade="80"/>
                  </w:rPr>
                </w:pPr>
                <w:r>
                  <w:rPr>
                    <w:b/>
                    <w:color w:val="004E6C" w:themeColor="accent2" w:themeShade="80"/>
                  </w:rPr>
                  <w:t>AC51 23/24</w:t>
                </w:r>
              </w:p>
              <w:p w14:paraId="4306F43F" w14:textId="77777777" w:rsidR="005A25C6" w:rsidRDefault="005A25C6" w:rsidP="005A25C6">
                <w:pPr>
                  <w:tabs>
                    <w:tab w:val="right" w:pos="9026"/>
                  </w:tabs>
                  <w:rPr>
                    <w:b/>
                  </w:rPr>
                </w:pPr>
              </w:p>
              <w:p w14:paraId="5456CF96" w14:textId="15D90E51" w:rsidR="005A25C6" w:rsidRPr="00731916" w:rsidRDefault="005A25C6" w:rsidP="005A25C6">
                <w:pPr>
                  <w:tabs>
                    <w:tab w:val="right" w:pos="9026"/>
                  </w:tabs>
                  <w:rPr>
                    <w:b/>
                    <w:color w:val="112F51" w:themeColor="text2" w:themeShade="BF"/>
                  </w:rPr>
                </w:pPr>
                <w:r w:rsidRPr="00155E54">
                  <w:rPr>
                    <w:b/>
                  </w:rPr>
                  <w:t>HCD</w:t>
                </w:r>
              </w:p>
            </w:tc>
            <w:tc>
              <w:tcPr>
                <w:tcW w:w="4377" w:type="pct"/>
              </w:tcPr>
              <w:p w14:paraId="7E3D6691" w14:textId="77777777" w:rsidR="005A25C6" w:rsidRDefault="005A25C6" w:rsidP="005A25C6">
                <w:pPr>
                  <w:rPr>
                    <w:b/>
                  </w:rPr>
                </w:pPr>
                <w:r>
                  <w:rPr>
                    <w:b/>
                  </w:rPr>
                  <w:t xml:space="preserve">Status of Outstanding Audit Recommendations </w:t>
                </w:r>
              </w:p>
              <w:p w14:paraId="590A4276" w14:textId="77777777" w:rsidR="000B2132" w:rsidRDefault="000B2132" w:rsidP="005A25C6">
                <w:pPr>
                  <w:tabs>
                    <w:tab w:val="left" w:pos="4810"/>
                  </w:tabs>
                </w:pPr>
              </w:p>
              <w:p w14:paraId="2972A25A" w14:textId="19BACF75" w:rsidR="005A25C6" w:rsidRDefault="000B2132" w:rsidP="000B2132">
                <w:pPr>
                  <w:tabs>
                    <w:tab w:val="left" w:pos="4810"/>
                  </w:tabs>
                </w:pPr>
                <w:r>
                  <w:t xml:space="preserve">Management advised the ARAC on the key issues arising from the </w:t>
                </w:r>
                <w:r w:rsidR="005A25C6">
                  <w:t>Status of Outstanding Audit Recommendations Q2 2023/24</w:t>
                </w:r>
                <w:r w:rsidR="008476D1">
                  <w:t>, including</w:t>
                </w:r>
              </w:p>
              <w:p w14:paraId="6757025A" w14:textId="77777777" w:rsidR="000B2132" w:rsidRDefault="000B2132" w:rsidP="000B2132">
                <w:pPr>
                  <w:tabs>
                    <w:tab w:val="left" w:pos="4810"/>
                  </w:tabs>
                </w:pPr>
              </w:p>
              <w:p w14:paraId="79EDCE00" w14:textId="78B04EAC" w:rsidR="003E433D" w:rsidRDefault="003E433D" w:rsidP="003E433D">
                <w:pPr>
                  <w:pStyle w:val="ListParagraph"/>
                  <w:numPr>
                    <w:ilvl w:val="0"/>
                    <w:numId w:val="43"/>
                  </w:numPr>
                  <w:tabs>
                    <w:tab w:val="left" w:pos="4810"/>
                  </w:tabs>
                </w:pPr>
                <w:r>
                  <w:t>7 recommendations carried over from the previous quarter</w:t>
                </w:r>
                <w:r w:rsidR="008476D1">
                  <w:t>, all of which are medium or low priority recommendations, action is under way and Management anticipate closure early in Q3</w:t>
                </w:r>
                <w:r>
                  <w:t>;</w:t>
                </w:r>
              </w:p>
              <w:p w14:paraId="6A309D51" w14:textId="3D51E9A2" w:rsidR="000B2132" w:rsidRDefault="000B2132" w:rsidP="003E433D">
                <w:pPr>
                  <w:pStyle w:val="ListParagraph"/>
                  <w:numPr>
                    <w:ilvl w:val="0"/>
                    <w:numId w:val="43"/>
                  </w:numPr>
                  <w:tabs>
                    <w:tab w:val="left" w:pos="4810"/>
                  </w:tabs>
                </w:pPr>
                <w:r>
                  <w:t xml:space="preserve">5 new </w:t>
                </w:r>
                <w:r w:rsidR="003E433D">
                  <w:t>recommendations</w:t>
                </w:r>
                <w:r w:rsidR="002100A5">
                  <w:t>; and,</w:t>
                </w:r>
              </w:p>
              <w:p w14:paraId="3FDE68C7" w14:textId="5B9B498E" w:rsidR="000B2132" w:rsidRDefault="003E433D" w:rsidP="003E433D">
                <w:pPr>
                  <w:pStyle w:val="ListParagraph"/>
                  <w:numPr>
                    <w:ilvl w:val="0"/>
                    <w:numId w:val="43"/>
                  </w:numPr>
                  <w:tabs>
                    <w:tab w:val="left" w:pos="4810"/>
                  </w:tabs>
                </w:pPr>
                <w:r>
                  <w:t>5 recommendations closed.</w:t>
                </w:r>
              </w:p>
              <w:p w14:paraId="2DCB32DC" w14:textId="77777777" w:rsidR="005A25C6" w:rsidRDefault="005A25C6" w:rsidP="004F66E4">
                <w:pPr>
                  <w:tabs>
                    <w:tab w:val="right" w:pos="9026"/>
                  </w:tabs>
                </w:pPr>
              </w:p>
              <w:p w14:paraId="64BED32B" w14:textId="79C62EB5" w:rsidR="00856A4F" w:rsidRDefault="004F66E4" w:rsidP="004F66E4">
                <w:pPr>
                  <w:tabs>
                    <w:tab w:val="right" w:pos="9026"/>
                  </w:tabs>
                </w:pPr>
                <w:r>
                  <w:t>Management</w:t>
                </w:r>
                <w:r w:rsidR="002B20BF">
                  <w:t>:</w:t>
                </w:r>
              </w:p>
              <w:p w14:paraId="5AAC8E12" w14:textId="77777777" w:rsidR="00856A4F" w:rsidRDefault="00856A4F" w:rsidP="004F66E4">
                <w:pPr>
                  <w:tabs>
                    <w:tab w:val="right" w:pos="9026"/>
                  </w:tabs>
                </w:pPr>
              </w:p>
              <w:p w14:paraId="6E6A6237" w14:textId="77777777" w:rsidR="00646349" w:rsidRDefault="004F66E4" w:rsidP="00DA5C48">
                <w:pPr>
                  <w:pStyle w:val="ListParagraph"/>
                  <w:numPr>
                    <w:ilvl w:val="0"/>
                    <w:numId w:val="44"/>
                  </w:numPr>
                  <w:tabs>
                    <w:tab w:val="right" w:pos="9026"/>
                  </w:tabs>
                </w:pPr>
                <w:r>
                  <w:t>advised the ARAC on the improvements to the tracking of complaints</w:t>
                </w:r>
                <w:r w:rsidR="00646349">
                  <w:t>;</w:t>
                </w:r>
              </w:p>
              <w:p w14:paraId="2651FFCD" w14:textId="476D439B" w:rsidR="00445917" w:rsidRDefault="00445917" w:rsidP="00DA5C48">
                <w:pPr>
                  <w:pStyle w:val="ListParagraph"/>
                  <w:numPr>
                    <w:ilvl w:val="0"/>
                    <w:numId w:val="44"/>
                  </w:numPr>
                  <w:tabs>
                    <w:tab w:val="right" w:pos="9026"/>
                  </w:tabs>
                </w:pPr>
                <w:r>
                  <w:t>provided assurance to the ARAC on the robustness and completeness of the systems used to capture and manage complaints;</w:t>
                </w:r>
              </w:p>
              <w:p w14:paraId="1332D67D" w14:textId="4555249D" w:rsidR="00856A4F" w:rsidRDefault="00856A4F" w:rsidP="00DA5C48">
                <w:pPr>
                  <w:pStyle w:val="ListParagraph"/>
                  <w:numPr>
                    <w:ilvl w:val="0"/>
                    <w:numId w:val="44"/>
                  </w:numPr>
                  <w:tabs>
                    <w:tab w:val="right" w:pos="9026"/>
                  </w:tabs>
                </w:pPr>
                <w:r>
                  <w:t>considered that these alternative controls achieve the same control objects.</w:t>
                </w:r>
              </w:p>
              <w:p w14:paraId="360D7809" w14:textId="59190A1E" w:rsidR="004F66E4" w:rsidRDefault="00646349" w:rsidP="00DA5C48">
                <w:pPr>
                  <w:pStyle w:val="ListParagraph"/>
                  <w:numPr>
                    <w:ilvl w:val="0"/>
                    <w:numId w:val="44"/>
                  </w:numPr>
                  <w:tabs>
                    <w:tab w:val="right" w:pos="9026"/>
                  </w:tabs>
                </w:pPr>
                <w:r>
                  <w:t>advised</w:t>
                </w:r>
                <w:r w:rsidR="00382262">
                  <w:t xml:space="preserve"> that end-to-end automation of </w:t>
                </w:r>
                <w:r>
                  <w:t xml:space="preserve">complaints </w:t>
                </w:r>
                <w:r w:rsidR="00DA5C48">
                  <w:t>will not be achieved because of the complexity of complaints being made; and,</w:t>
                </w:r>
              </w:p>
              <w:p w14:paraId="6C9C1ECB" w14:textId="4BFB22D2" w:rsidR="00DA5C48" w:rsidRDefault="00DA5C48" w:rsidP="00DA5C48">
                <w:pPr>
                  <w:pStyle w:val="ListParagraph"/>
                  <w:numPr>
                    <w:ilvl w:val="0"/>
                    <w:numId w:val="44"/>
                  </w:numPr>
                  <w:tabs>
                    <w:tab w:val="right" w:pos="9026"/>
                  </w:tabs>
                </w:pPr>
                <w:r>
                  <w:t>sought the ARAC’s approval for the removal of this recommendation from the list of outstanding recommendations.</w:t>
                </w:r>
              </w:p>
              <w:p w14:paraId="7C1DE57A" w14:textId="77777777" w:rsidR="00DA5C48" w:rsidRDefault="00DA5C48" w:rsidP="004F66E4">
                <w:pPr>
                  <w:tabs>
                    <w:tab w:val="right" w:pos="9026"/>
                  </w:tabs>
                </w:pPr>
              </w:p>
              <w:p w14:paraId="79B52710" w14:textId="6299BC3F" w:rsidR="00DA5C48" w:rsidRDefault="00DA5C48" w:rsidP="004F66E4">
                <w:pPr>
                  <w:tabs>
                    <w:tab w:val="right" w:pos="9026"/>
                  </w:tabs>
                </w:pPr>
                <w:r>
                  <w:lastRenderedPageBreak/>
                  <w:t xml:space="preserve">The ARAC </w:t>
                </w:r>
                <w:r w:rsidRPr="00DA5C48">
                  <w:rPr>
                    <w:b/>
                    <w:bCs/>
                    <w:u w:val="single"/>
                  </w:rPr>
                  <w:t>agreed</w:t>
                </w:r>
                <w:r>
                  <w:t xml:space="preserve"> to the removal of this recommendation and IA noted the ARAC’s decision.</w:t>
                </w:r>
              </w:p>
              <w:p w14:paraId="12F8A4F4" w14:textId="77777777" w:rsidR="00382262" w:rsidRPr="008205F9" w:rsidRDefault="00382262" w:rsidP="004F66E4">
                <w:pPr>
                  <w:tabs>
                    <w:tab w:val="right" w:pos="9026"/>
                  </w:tabs>
                </w:pPr>
              </w:p>
              <w:p w14:paraId="676AE56E" w14:textId="7DB15289" w:rsidR="005A25C6" w:rsidRDefault="005A25C6" w:rsidP="005A25C6">
                <w:pPr>
                  <w:tabs>
                    <w:tab w:val="right" w:pos="9026"/>
                  </w:tabs>
                </w:pPr>
                <w:r w:rsidRPr="008205F9">
                  <w:t>The Committee</w:t>
                </w:r>
                <w:r>
                  <w:t xml:space="preserve"> </w:t>
                </w:r>
                <w:r w:rsidRPr="00F47C1E">
                  <w:rPr>
                    <w:b/>
                    <w:u w:val="single"/>
                  </w:rPr>
                  <w:t>note</w:t>
                </w:r>
                <w:r w:rsidR="00890BF9">
                  <w:rPr>
                    <w:b/>
                    <w:u w:val="single"/>
                  </w:rPr>
                  <w:t>d</w:t>
                </w:r>
                <w:r>
                  <w:t xml:space="preserve"> the information provided by and the actions taken by Management.</w:t>
                </w:r>
              </w:p>
              <w:p w14:paraId="21668D67" w14:textId="77777777" w:rsidR="005A25C6" w:rsidRDefault="005A25C6" w:rsidP="005A25C6">
                <w:pPr>
                  <w:tabs>
                    <w:tab w:val="right" w:pos="9026"/>
                  </w:tabs>
                  <w:rPr>
                    <w:b/>
                  </w:rPr>
                </w:pPr>
              </w:p>
            </w:tc>
          </w:tr>
          <w:tr w:rsidR="005A25C6" w14:paraId="401DBC77" w14:textId="5A45FCE2" w:rsidTr="00AA618D">
            <w:tc>
              <w:tcPr>
                <w:tcW w:w="623" w:type="pct"/>
              </w:tcPr>
              <w:p w14:paraId="4C38EC90" w14:textId="31BDEF30" w:rsidR="005A25C6" w:rsidRPr="00FE591F" w:rsidRDefault="005A25C6" w:rsidP="005A25C6">
                <w:pPr>
                  <w:tabs>
                    <w:tab w:val="right" w:pos="9026"/>
                  </w:tabs>
                  <w:rPr>
                    <w:b/>
                    <w:color w:val="0B5294" w:themeColor="accent1" w:themeShade="BF"/>
                  </w:rPr>
                </w:pPr>
                <w:r>
                  <w:rPr>
                    <w:b/>
                    <w:color w:val="004E6C" w:themeColor="accent2" w:themeShade="80"/>
                  </w:rPr>
                  <w:lastRenderedPageBreak/>
                  <w:t>AC52 23/24</w:t>
                </w:r>
              </w:p>
              <w:p w14:paraId="4B85E2B9" w14:textId="3ED821FC" w:rsidR="005A25C6" w:rsidRPr="00731916" w:rsidRDefault="005A25C6" w:rsidP="005A25C6">
                <w:pPr>
                  <w:tabs>
                    <w:tab w:val="right" w:pos="9026"/>
                  </w:tabs>
                  <w:rPr>
                    <w:b/>
                    <w:color w:val="112F51" w:themeColor="text2" w:themeShade="BF"/>
                  </w:rPr>
                </w:pPr>
                <w:r w:rsidRPr="00155E54">
                  <w:rPr>
                    <w:b/>
                  </w:rPr>
                  <w:t>HCD</w:t>
                </w:r>
              </w:p>
            </w:tc>
            <w:tc>
              <w:tcPr>
                <w:tcW w:w="4377" w:type="pct"/>
              </w:tcPr>
              <w:p w14:paraId="049C99F1" w14:textId="77777777" w:rsidR="005A25C6" w:rsidRDefault="005A25C6" w:rsidP="005A25C6">
                <w:pPr>
                  <w:rPr>
                    <w:b/>
                  </w:rPr>
                </w:pPr>
                <w:r>
                  <w:rPr>
                    <w:b/>
                  </w:rPr>
                  <w:t>Risk Management Report</w:t>
                </w:r>
              </w:p>
              <w:p w14:paraId="06CA5A6B" w14:textId="77777777" w:rsidR="005A25C6" w:rsidRDefault="005A25C6" w:rsidP="005A25C6">
                <w:pPr>
                  <w:rPr>
                    <w:rFonts w:cs="Calibri"/>
                  </w:rPr>
                </w:pPr>
              </w:p>
              <w:p w14:paraId="35CA0B25" w14:textId="77777777" w:rsidR="00C85654" w:rsidRPr="00C113A8" w:rsidRDefault="00C85654" w:rsidP="00C85654">
                <w:pPr>
                  <w:tabs>
                    <w:tab w:val="right" w:pos="9026"/>
                  </w:tabs>
                </w:pPr>
                <w:r>
                  <w:t xml:space="preserve">Last considered </w:t>
                </w:r>
                <w:r w:rsidRPr="00C113A8">
                  <w:rPr>
                    <w:b/>
                    <w:bCs/>
                    <w:color w:val="0B5294" w:themeColor="accent1" w:themeShade="BF"/>
                  </w:rPr>
                  <w:t>AC</w:t>
                </w:r>
                <w:r>
                  <w:rPr>
                    <w:b/>
                    <w:bCs/>
                    <w:color w:val="0B5294" w:themeColor="accent1" w:themeShade="BF"/>
                  </w:rPr>
                  <w:t>27</w:t>
                </w:r>
                <w:r w:rsidRPr="00C113A8">
                  <w:rPr>
                    <w:b/>
                    <w:bCs/>
                    <w:color w:val="0B5294" w:themeColor="accent1" w:themeShade="BF"/>
                  </w:rPr>
                  <w:t xml:space="preserve"> 2</w:t>
                </w:r>
                <w:r>
                  <w:rPr>
                    <w:b/>
                    <w:bCs/>
                    <w:color w:val="0B5294" w:themeColor="accent1" w:themeShade="BF"/>
                  </w:rPr>
                  <w:t>3</w:t>
                </w:r>
                <w:r w:rsidRPr="00C113A8">
                  <w:rPr>
                    <w:b/>
                    <w:bCs/>
                    <w:color w:val="0B5294" w:themeColor="accent1" w:themeShade="BF"/>
                  </w:rPr>
                  <w:t>/2</w:t>
                </w:r>
                <w:r>
                  <w:rPr>
                    <w:b/>
                    <w:bCs/>
                    <w:color w:val="0B5294" w:themeColor="accent1" w:themeShade="BF"/>
                  </w:rPr>
                  <w:t>4</w:t>
                </w:r>
                <w:r w:rsidRPr="00C113A8">
                  <w:rPr>
                    <w:b/>
                    <w:bCs/>
                    <w:color w:val="0B5294" w:themeColor="accent1" w:themeShade="BF"/>
                  </w:rPr>
                  <w:t xml:space="preserve"> </w:t>
                </w:r>
                <w:r>
                  <w:rPr>
                    <w:b/>
                    <w:bCs/>
                    <w:color w:val="0B5294" w:themeColor="accent1" w:themeShade="BF"/>
                  </w:rPr>
                  <w:t>13 November</w:t>
                </w:r>
                <w:r w:rsidRPr="00C113A8">
                  <w:rPr>
                    <w:b/>
                    <w:bCs/>
                    <w:color w:val="0B5294" w:themeColor="accent1" w:themeShade="BF"/>
                  </w:rPr>
                  <w:t xml:space="preserve"> 202</w:t>
                </w:r>
                <w:r>
                  <w:rPr>
                    <w:b/>
                    <w:bCs/>
                    <w:color w:val="0B5294" w:themeColor="accent1" w:themeShade="BF"/>
                  </w:rPr>
                  <w:t>3</w:t>
                </w:r>
                <w:r w:rsidRPr="00C113A8">
                  <w:t>.</w:t>
                </w:r>
              </w:p>
              <w:p w14:paraId="0EFC1074" w14:textId="77777777" w:rsidR="00C85654" w:rsidRDefault="00C85654" w:rsidP="005A25C6">
                <w:pPr>
                  <w:rPr>
                    <w:rFonts w:cs="Calibri"/>
                  </w:rPr>
                </w:pPr>
              </w:p>
              <w:p w14:paraId="4A0148F6" w14:textId="69623AA5" w:rsidR="00A73D9E" w:rsidRDefault="00A73D9E" w:rsidP="005A25C6">
                <w:pPr>
                  <w:rPr>
                    <w:rFonts w:cs="Calibri"/>
                  </w:rPr>
                </w:pPr>
                <w:r>
                  <w:rPr>
                    <w:rFonts w:cs="Calibri"/>
                  </w:rPr>
                  <w:t>Management advised the ARAC on the</w:t>
                </w:r>
                <w:r w:rsidR="00C85654">
                  <w:rPr>
                    <w:rFonts w:cs="Calibri"/>
                  </w:rPr>
                  <w:t xml:space="preserve"> key issues arising in the following Management reports</w:t>
                </w:r>
                <w:r w:rsidR="001A472A">
                  <w:rPr>
                    <w:rFonts w:cs="Calibri"/>
                  </w:rPr>
                  <w:t>:</w:t>
                </w:r>
              </w:p>
              <w:p w14:paraId="1A9C55E2" w14:textId="77777777" w:rsidR="001A472A" w:rsidRPr="009C75E1" w:rsidRDefault="001A472A" w:rsidP="005A25C6">
                <w:pPr>
                  <w:rPr>
                    <w:rFonts w:cs="Calibri"/>
                  </w:rPr>
                </w:pPr>
              </w:p>
              <w:p w14:paraId="1BFB6043" w14:textId="175AD2AF" w:rsidR="005A25C6" w:rsidRPr="008205F9" w:rsidRDefault="005A25C6" w:rsidP="005A25C6">
                <w:pPr>
                  <w:pStyle w:val="ListParagraph"/>
                  <w:numPr>
                    <w:ilvl w:val="0"/>
                    <w:numId w:val="2"/>
                  </w:numPr>
                  <w:rPr>
                    <w:rFonts w:ascii="Arial" w:hAnsi="Arial" w:cs="Arial"/>
                    <w:sz w:val="24"/>
                    <w:szCs w:val="24"/>
                  </w:rPr>
                </w:pPr>
                <w:r w:rsidRPr="008205F9">
                  <w:t>Corporate Risk Register Report Q</w:t>
                </w:r>
                <w:r>
                  <w:t xml:space="preserve">2 </w:t>
                </w:r>
                <w:r w:rsidRPr="008205F9">
                  <w:t>20</w:t>
                </w:r>
                <w:r>
                  <w:t>23/24</w:t>
                </w:r>
                <w:r w:rsidRPr="008205F9">
                  <w:t>;</w:t>
                </w:r>
              </w:p>
              <w:p w14:paraId="15A8B652" w14:textId="19B89DCA" w:rsidR="005A25C6" w:rsidRPr="00976573" w:rsidRDefault="005A25C6" w:rsidP="005A25C6">
                <w:pPr>
                  <w:pStyle w:val="ListParagraph"/>
                  <w:numPr>
                    <w:ilvl w:val="0"/>
                    <w:numId w:val="2"/>
                  </w:numPr>
                  <w:rPr>
                    <w:rFonts w:ascii="Arial" w:hAnsi="Arial" w:cs="Arial"/>
                  </w:rPr>
                </w:pPr>
                <w:r w:rsidRPr="008205F9">
                  <w:t xml:space="preserve">Corporate Risk Register </w:t>
                </w:r>
                <w:r>
                  <w:t>Q2 2023/24; and,</w:t>
                </w:r>
              </w:p>
              <w:p w14:paraId="25C8A66E" w14:textId="51D865C8" w:rsidR="005A25C6" w:rsidRPr="00D74D7E" w:rsidRDefault="005A25C6" w:rsidP="005A25C6">
                <w:pPr>
                  <w:pStyle w:val="ListParagraph"/>
                  <w:numPr>
                    <w:ilvl w:val="0"/>
                    <w:numId w:val="2"/>
                  </w:numPr>
                  <w:rPr>
                    <w:rFonts w:ascii="Arial" w:hAnsi="Arial" w:cs="Arial"/>
                  </w:rPr>
                </w:pPr>
                <w:r>
                  <w:t>Risk Appetite Q2 2023/24.</w:t>
                </w:r>
              </w:p>
              <w:p w14:paraId="4793E10A" w14:textId="26CF4A53" w:rsidR="005A25C6" w:rsidRDefault="005A25C6" w:rsidP="005A25C6">
                <w:pPr>
                  <w:tabs>
                    <w:tab w:val="right" w:pos="9026"/>
                  </w:tabs>
                  <w:rPr>
                    <w:rFonts w:asciiTheme="minorHAnsi" w:hAnsiTheme="minorHAnsi" w:cstheme="minorHAnsi"/>
                  </w:rPr>
                </w:pPr>
              </w:p>
              <w:p w14:paraId="45566558" w14:textId="77777777" w:rsidR="00840166" w:rsidRDefault="00FF0EEF" w:rsidP="005A25C6">
                <w:pPr>
                  <w:tabs>
                    <w:tab w:val="right" w:pos="9026"/>
                  </w:tabs>
                  <w:rPr>
                    <w:rFonts w:asciiTheme="minorHAnsi" w:hAnsiTheme="minorHAnsi" w:cstheme="minorHAnsi"/>
                  </w:rPr>
                </w:pPr>
                <w:r>
                  <w:rPr>
                    <w:rFonts w:asciiTheme="minorHAnsi" w:hAnsiTheme="minorHAnsi" w:cstheme="minorHAnsi"/>
                  </w:rPr>
                  <w:t>Management</w:t>
                </w:r>
                <w:r w:rsidR="00840166">
                  <w:rPr>
                    <w:rFonts w:asciiTheme="minorHAnsi" w:hAnsiTheme="minorHAnsi" w:cstheme="minorHAnsi"/>
                  </w:rPr>
                  <w:t>:</w:t>
                </w:r>
              </w:p>
              <w:p w14:paraId="182AF07F" w14:textId="5E6F0AA0" w:rsidR="00840166" w:rsidRDefault="00840166" w:rsidP="00840166">
                <w:pPr>
                  <w:tabs>
                    <w:tab w:val="left" w:pos="2265"/>
                  </w:tabs>
                  <w:rPr>
                    <w:rFonts w:asciiTheme="minorHAnsi" w:hAnsiTheme="minorHAnsi" w:cstheme="minorHAnsi"/>
                  </w:rPr>
                </w:pPr>
                <w:r>
                  <w:rPr>
                    <w:rFonts w:asciiTheme="minorHAnsi" w:hAnsiTheme="minorHAnsi" w:cstheme="minorHAnsi"/>
                  </w:rPr>
                  <w:tab/>
                </w:r>
              </w:p>
              <w:p w14:paraId="35D49907" w14:textId="77777777" w:rsidR="00840166" w:rsidRPr="00840166" w:rsidRDefault="00FF0EEF" w:rsidP="00840166">
                <w:pPr>
                  <w:pStyle w:val="ListParagraph"/>
                  <w:numPr>
                    <w:ilvl w:val="0"/>
                    <w:numId w:val="46"/>
                  </w:numPr>
                  <w:tabs>
                    <w:tab w:val="right" w:pos="9026"/>
                  </w:tabs>
                  <w:rPr>
                    <w:rFonts w:asciiTheme="minorHAnsi" w:hAnsiTheme="minorHAnsi" w:cstheme="minorHAnsi"/>
                  </w:rPr>
                </w:pPr>
                <w:r w:rsidRPr="00840166">
                  <w:rPr>
                    <w:rFonts w:asciiTheme="minorHAnsi" w:hAnsiTheme="minorHAnsi" w:cstheme="minorHAnsi"/>
                  </w:rPr>
                  <w:t>advised that there have been no changes to the number and status of the identified risks since the last repor</w:t>
                </w:r>
                <w:r w:rsidR="00840166" w:rsidRPr="00840166">
                  <w:rPr>
                    <w:rFonts w:asciiTheme="minorHAnsi" w:hAnsiTheme="minorHAnsi" w:cstheme="minorHAnsi"/>
                  </w:rPr>
                  <w:t>t;</w:t>
                </w:r>
              </w:p>
              <w:p w14:paraId="6A0E63CA" w14:textId="77777777" w:rsidR="00840166" w:rsidRDefault="00840166" w:rsidP="005A25C6">
                <w:pPr>
                  <w:tabs>
                    <w:tab w:val="right" w:pos="9026"/>
                  </w:tabs>
                  <w:rPr>
                    <w:rFonts w:asciiTheme="minorHAnsi" w:hAnsiTheme="minorHAnsi" w:cstheme="minorHAnsi"/>
                  </w:rPr>
                </w:pPr>
              </w:p>
              <w:p w14:paraId="67410A6F" w14:textId="4CA33DC6" w:rsidR="00FF0EEF" w:rsidRPr="00840166" w:rsidRDefault="00FF0EEF" w:rsidP="00840166">
                <w:pPr>
                  <w:pStyle w:val="ListParagraph"/>
                  <w:numPr>
                    <w:ilvl w:val="0"/>
                    <w:numId w:val="46"/>
                  </w:numPr>
                  <w:tabs>
                    <w:tab w:val="right" w:pos="9026"/>
                  </w:tabs>
                  <w:rPr>
                    <w:rFonts w:asciiTheme="minorHAnsi" w:hAnsiTheme="minorHAnsi" w:cstheme="minorHAnsi"/>
                  </w:rPr>
                </w:pPr>
                <w:r w:rsidRPr="00840166">
                  <w:rPr>
                    <w:rFonts w:asciiTheme="minorHAnsi" w:hAnsiTheme="minorHAnsi" w:cstheme="minorHAnsi"/>
                  </w:rPr>
                  <w:t>assured the ARAC that the risk register had been reviewed by both ELT and SLT since the last meeting</w:t>
                </w:r>
                <w:r w:rsidR="00AD307B" w:rsidRPr="00840166">
                  <w:rPr>
                    <w:rFonts w:asciiTheme="minorHAnsi" w:hAnsiTheme="minorHAnsi" w:cstheme="minorHAnsi"/>
                  </w:rPr>
                  <w:t>, noting that the process has been greatly facilitated by the use of Decision Time</w:t>
                </w:r>
                <w:r w:rsidR="00840166" w:rsidRPr="00840166">
                  <w:rPr>
                    <w:rFonts w:asciiTheme="minorHAnsi" w:hAnsiTheme="minorHAnsi" w:cstheme="minorHAnsi"/>
                  </w:rPr>
                  <w:t>;</w:t>
                </w:r>
              </w:p>
              <w:p w14:paraId="244BBCE5" w14:textId="77777777" w:rsidR="00840166" w:rsidRDefault="00840166" w:rsidP="005A25C6">
                <w:pPr>
                  <w:tabs>
                    <w:tab w:val="right" w:pos="9026"/>
                  </w:tabs>
                  <w:rPr>
                    <w:rFonts w:asciiTheme="minorHAnsi" w:hAnsiTheme="minorHAnsi" w:cstheme="minorHAnsi"/>
                  </w:rPr>
                </w:pPr>
              </w:p>
              <w:p w14:paraId="7DF2FD33" w14:textId="5B2DBD82" w:rsidR="00840166" w:rsidRPr="00840166" w:rsidRDefault="00840166" w:rsidP="00840166">
                <w:pPr>
                  <w:pStyle w:val="ListParagraph"/>
                  <w:numPr>
                    <w:ilvl w:val="0"/>
                    <w:numId w:val="46"/>
                  </w:numPr>
                  <w:tabs>
                    <w:tab w:val="right" w:pos="9026"/>
                  </w:tabs>
                  <w:rPr>
                    <w:rFonts w:asciiTheme="minorHAnsi" w:hAnsiTheme="minorHAnsi" w:cstheme="minorHAnsi"/>
                  </w:rPr>
                </w:pPr>
                <w:r w:rsidRPr="00840166">
                  <w:rPr>
                    <w:rFonts w:asciiTheme="minorHAnsi" w:hAnsiTheme="minorHAnsi" w:cstheme="minorHAnsi"/>
                  </w:rPr>
                  <w:t>confirmed that the review process focussed at all times on the black and red risks identified</w:t>
                </w:r>
                <w:r w:rsidR="006D64CD">
                  <w:rPr>
                    <w:rFonts w:asciiTheme="minorHAnsi" w:hAnsiTheme="minorHAnsi" w:cstheme="minorHAnsi"/>
                  </w:rPr>
                  <w:t>.</w:t>
                </w:r>
              </w:p>
              <w:p w14:paraId="5EE07D64" w14:textId="77777777" w:rsidR="00840166" w:rsidRDefault="00840166" w:rsidP="005A25C6">
                <w:pPr>
                  <w:tabs>
                    <w:tab w:val="right" w:pos="9026"/>
                  </w:tabs>
                  <w:rPr>
                    <w:rFonts w:asciiTheme="minorHAnsi" w:hAnsiTheme="minorHAnsi" w:cstheme="minorHAnsi"/>
                  </w:rPr>
                </w:pPr>
              </w:p>
              <w:p w14:paraId="6E56FA6F" w14:textId="28ECA2D4" w:rsidR="006554D4" w:rsidRPr="00C97C16" w:rsidRDefault="006554D4" w:rsidP="005A25C6">
                <w:pPr>
                  <w:tabs>
                    <w:tab w:val="right" w:pos="9026"/>
                  </w:tabs>
                  <w:rPr>
                    <w:rFonts w:asciiTheme="minorHAnsi" w:hAnsiTheme="minorHAnsi" w:cstheme="minorHAnsi"/>
                  </w:rPr>
                </w:pPr>
                <w:r>
                  <w:rPr>
                    <w:rFonts w:asciiTheme="minorHAnsi" w:hAnsiTheme="minorHAnsi" w:cstheme="minorHAnsi"/>
                  </w:rPr>
                  <w:t xml:space="preserve">The ARAC noted the policy changes regarding the status of the 10X strategy </w:t>
                </w:r>
                <w:r w:rsidR="008B0CCA">
                  <w:rPr>
                    <w:rFonts w:asciiTheme="minorHAnsi" w:hAnsiTheme="minorHAnsi" w:cstheme="minorHAnsi"/>
                  </w:rPr>
                  <w:t>and the potential impact of these changes to the risk management</w:t>
                </w:r>
              </w:p>
              <w:p w14:paraId="34156221" w14:textId="77777777" w:rsidR="005A25C6" w:rsidRDefault="005A25C6" w:rsidP="005A25C6">
                <w:pPr>
                  <w:tabs>
                    <w:tab w:val="right" w:pos="9026"/>
                  </w:tabs>
                </w:pPr>
              </w:p>
              <w:p w14:paraId="0F3131D6" w14:textId="77777777" w:rsidR="001A472A" w:rsidRDefault="005A25C6" w:rsidP="005A25C6">
                <w:pPr>
                  <w:tabs>
                    <w:tab w:val="right" w:pos="9026"/>
                  </w:tabs>
                </w:pPr>
                <w:r w:rsidRPr="00605434">
                  <w:t xml:space="preserve">The </w:t>
                </w:r>
                <w:r>
                  <w:t>Committee</w:t>
                </w:r>
                <w:r w:rsidR="001A472A">
                  <w:t>:</w:t>
                </w:r>
              </w:p>
              <w:p w14:paraId="0E174713" w14:textId="77777777" w:rsidR="00FF0EEF" w:rsidRDefault="00FF0EEF" w:rsidP="005A25C6">
                <w:pPr>
                  <w:tabs>
                    <w:tab w:val="right" w:pos="9026"/>
                  </w:tabs>
                </w:pPr>
              </w:p>
              <w:p w14:paraId="67B76D98" w14:textId="6556F5D6" w:rsidR="00856A4F" w:rsidRDefault="005A25C6" w:rsidP="00AD307B">
                <w:pPr>
                  <w:pStyle w:val="ListParagraph"/>
                  <w:numPr>
                    <w:ilvl w:val="0"/>
                    <w:numId w:val="45"/>
                  </w:numPr>
                  <w:tabs>
                    <w:tab w:val="right" w:pos="9026"/>
                  </w:tabs>
                </w:pPr>
                <w:r w:rsidRPr="00AD307B">
                  <w:rPr>
                    <w:b/>
                    <w:u w:val="single"/>
                  </w:rPr>
                  <w:t>consider</w:t>
                </w:r>
                <w:r w:rsidR="001A472A" w:rsidRPr="00AD307B">
                  <w:rPr>
                    <w:b/>
                    <w:u w:val="single"/>
                  </w:rPr>
                  <w:t>ed</w:t>
                </w:r>
                <w:r>
                  <w:t xml:space="preserve"> the Corporate Risk Register Q2 2023/24</w:t>
                </w:r>
                <w:r w:rsidR="00856A4F">
                  <w:t>;</w:t>
                </w:r>
              </w:p>
              <w:p w14:paraId="51731818" w14:textId="77777777" w:rsidR="008B1A3D" w:rsidRDefault="008B1A3D" w:rsidP="008B1A3D">
                <w:pPr>
                  <w:pStyle w:val="ListParagraph"/>
                  <w:tabs>
                    <w:tab w:val="right" w:pos="9026"/>
                  </w:tabs>
                </w:pPr>
              </w:p>
              <w:p w14:paraId="376EFFEB" w14:textId="2F55548A" w:rsidR="008B0CCA" w:rsidRPr="008B1A3D" w:rsidRDefault="008B1A3D" w:rsidP="00AD307B">
                <w:pPr>
                  <w:pStyle w:val="ListParagraph"/>
                  <w:numPr>
                    <w:ilvl w:val="0"/>
                    <w:numId w:val="45"/>
                  </w:numPr>
                  <w:tabs>
                    <w:tab w:val="right" w:pos="9026"/>
                  </w:tabs>
                  <w:rPr>
                    <w:bCs/>
                  </w:rPr>
                </w:pPr>
                <w:r w:rsidRPr="008B1A3D">
                  <w:rPr>
                    <w:b/>
                    <w:u w:val="single"/>
                  </w:rPr>
                  <w:t xml:space="preserve">considered </w:t>
                </w:r>
                <w:r w:rsidR="008B0CCA" w:rsidRPr="008B1A3D">
                  <w:rPr>
                    <w:bCs/>
                  </w:rPr>
                  <w:t>that the 7 identified risks accurately reflect the risk profile facing the College</w:t>
                </w:r>
                <w:r>
                  <w:rPr>
                    <w:bCs/>
                  </w:rPr>
                  <w:t>; and,</w:t>
                </w:r>
              </w:p>
              <w:p w14:paraId="50494B2C" w14:textId="77777777" w:rsidR="00AD307B" w:rsidRDefault="00AD307B" w:rsidP="005A25C6">
                <w:pPr>
                  <w:tabs>
                    <w:tab w:val="right" w:pos="9026"/>
                  </w:tabs>
                </w:pPr>
              </w:p>
              <w:p w14:paraId="039C0539" w14:textId="08EFA72A" w:rsidR="005A25C6" w:rsidRDefault="005A25C6" w:rsidP="00AD307B">
                <w:pPr>
                  <w:pStyle w:val="ListParagraph"/>
                  <w:numPr>
                    <w:ilvl w:val="0"/>
                    <w:numId w:val="45"/>
                  </w:numPr>
                  <w:tabs>
                    <w:tab w:val="right" w:pos="9026"/>
                  </w:tabs>
                </w:pPr>
                <w:r w:rsidRPr="00AD307B">
                  <w:rPr>
                    <w:b/>
                    <w:bCs/>
                    <w:u w:val="single"/>
                  </w:rPr>
                  <w:t>recommend</w:t>
                </w:r>
                <w:r w:rsidR="00FF0EEF" w:rsidRPr="00AD307B">
                  <w:rPr>
                    <w:b/>
                    <w:bCs/>
                    <w:u w:val="single"/>
                  </w:rPr>
                  <w:t xml:space="preserve">ed </w:t>
                </w:r>
                <w:r>
                  <w:t>this version of the CRR to the Governing Body at the meeting to be held on 20 March 2024.</w:t>
                </w:r>
              </w:p>
              <w:p w14:paraId="6A57A9E6" w14:textId="3DB05FD6" w:rsidR="005A25C6" w:rsidRDefault="005A25C6" w:rsidP="005A25C6">
                <w:pPr>
                  <w:tabs>
                    <w:tab w:val="left" w:pos="2174"/>
                  </w:tabs>
                  <w:rPr>
                    <w:b/>
                  </w:rPr>
                </w:pPr>
                <w:r>
                  <w:rPr>
                    <w:b/>
                  </w:rPr>
                  <w:tab/>
                </w:r>
              </w:p>
            </w:tc>
          </w:tr>
          <w:tr w:rsidR="005A25C6" w14:paraId="6ECC3848" w14:textId="4330693A" w:rsidTr="00AA618D">
            <w:tc>
              <w:tcPr>
                <w:tcW w:w="623" w:type="pct"/>
              </w:tcPr>
              <w:p w14:paraId="08226BC8" w14:textId="2D8B18E6" w:rsidR="005A25C6" w:rsidRPr="00AE13B9" w:rsidRDefault="005A25C6" w:rsidP="005A25C6">
                <w:pPr>
                  <w:tabs>
                    <w:tab w:val="right" w:pos="9026"/>
                  </w:tabs>
                  <w:rPr>
                    <w:b/>
                    <w:color w:val="0B1F36" w:themeColor="text2" w:themeShade="80"/>
                  </w:rPr>
                </w:pPr>
                <w:r w:rsidRPr="00AE13B9">
                  <w:rPr>
                    <w:b/>
                    <w:color w:val="112F51" w:themeColor="text2" w:themeShade="BF"/>
                  </w:rPr>
                  <w:t>AC</w:t>
                </w:r>
                <w:r>
                  <w:rPr>
                    <w:b/>
                    <w:color w:val="112F51" w:themeColor="text2" w:themeShade="BF"/>
                  </w:rPr>
                  <w:t>53</w:t>
                </w:r>
                <w:r w:rsidRPr="00AE13B9">
                  <w:rPr>
                    <w:b/>
                    <w:color w:val="112F51" w:themeColor="text2" w:themeShade="BF"/>
                  </w:rPr>
                  <w:t xml:space="preserve"> 2</w:t>
                </w:r>
                <w:r>
                  <w:rPr>
                    <w:b/>
                    <w:color w:val="112F51" w:themeColor="text2" w:themeShade="BF"/>
                  </w:rPr>
                  <w:t>3</w:t>
                </w:r>
                <w:r w:rsidRPr="00AE13B9">
                  <w:rPr>
                    <w:b/>
                    <w:color w:val="112F51" w:themeColor="text2" w:themeShade="BF"/>
                  </w:rPr>
                  <w:t>/2</w:t>
                </w:r>
                <w:r>
                  <w:rPr>
                    <w:b/>
                    <w:color w:val="112F51" w:themeColor="text2" w:themeShade="BF"/>
                  </w:rPr>
                  <w:t>4</w:t>
                </w:r>
              </w:p>
            </w:tc>
            <w:tc>
              <w:tcPr>
                <w:tcW w:w="4377" w:type="pct"/>
              </w:tcPr>
              <w:p w14:paraId="2B981579" w14:textId="77777777" w:rsidR="005A25C6" w:rsidRPr="009B0A0D" w:rsidRDefault="005A25C6" w:rsidP="005A25C6">
                <w:pPr>
                  <w:tabs>
                    <w:tab w:val="right" w:pos="9026"/>
                  </w:tabs>
                  <w:rPr>
                    <w:rFonts w:asciiTheme="minorHAnsi" w:hAnsiTheme="minorHAnsi" w:cstheme="minorHAnsi"/>
                    <w:b/>
                  </w:rPr>
                </w:pPr>
                <w:r w:rsidRPr="009B0A0D">
                  <w:rPr>
                    <w:rFonts w:asciiTheme="minorHAnsi" w:hAnsiTheme="minorHAnsi" w:cstheme="minorHAnsi"/>
                    <w:b/>
                  </w:rPr>
                  <w:t xml:space="preserve">Meeting Feedback </w:t>
                </w:r>
              </w:p>
              <w:p w14:paraId="047C8B6B" w14:textId="77777777" w:rsidR="005A25C6" w:rsidRPr="009B0A0D" w:rsidRDefault="005A25C6" w:rsidP="005A25C6">
                <w:pPr>
                  <w:tabs>
                    <w:tab w:val="right" w:pos="9026"/>
                  </w:tabs>
                  <w:rPr>
                    <w:rFonts w:asciiTheme="minorHAnsi" w:hAnsiTheme="minorHAnsi" w:cstheme="minorHAnsi"/>
                    <w:b/>
                  </w:rPr>
                </w:pPr>
              </w:p>
              <w:p w14:paraId="7C7875D5" w14:textId="5456BBD8" w:rsidR="005A25C6" w:rsidRPr="009B0A0D" w:rsidRDefault="005A25C6" w:rsidP="005A25C6">
                <w:pPr>
                  <w:shd w:val="clear" w:color="auto" w:fill="FFFFFF"/>
                  <w:rPr>
                    <w:rFonts w:asciiTheme="minorHAnsi" w:eastAsia="Times New Roman" w:hAnsiTheme="minorHAnsi" w:cstheme="minorHAnsi"/>
                    <w:color w:val="161B1C"/>
                    <w:lang w:eastAsia="en-GB"/>
                  </w:rPr>
                </w:pPr>
                <w:r w:rsidRPr="009B0A0D">
                  <w:rPr>
                    <w:rFonts w:asciiTheme="minorHAnsi" w:eastAsia="Times New Roman" w:hAnsiTheme="minorHAnsi" w:cstheme="minorHAnsi"/>
                    <w:color w:val="161B1C"/>
                    <w:lang w:eastAsia="en-GB"/>
                  </w:rPr>
                  <w:t>Committee members</w:t>
                </w:r>
                <w:r>
                  <w:rPr>
                    <w:rFonts w:asciiTheme="minorHAnsi" w:eastAsia="Times New Roman" w:hAnsiTheme="minorHAnsi" w:cstheme="minorHAnsi"/>
                    <w:color w:val="161B1C"/>
                    <w:lang w:eastAsia="en-GB"/>
                  </w:rPr>
                  <w:t xml:space="preserve"> </w:t>
                </w:r>
                <w:r w:rsidRPr="00A73D9E">
                  <w:rPr>
                    <w:rFonts w:asciiTheme="minorHAnsi" w:eastAsia="Times New Roman" w:hAnsiTheme="minorHAnsi" w:cstheme="minorHAnsi"/>
                    <w:b/>
                    <w:bCs/>
                    <w:color w:val="161B1C"/>
                    <w:u w:val="single"/>
                    <w:lang w:eastAsia="en-GB"/>
                  </w:rPr>
                  <w:t>advised</w:t>
                </w:r>
                <w:r>
                  <w:rPr>
                    <w:rFonts w:asciiTheme="minorHAnsi" w:eastAsia="Times New Roman" w:hAnsiTheme="minorHAnsi" w:cstheme="minorHAnsi"/>
                    <w:color w:val="161B1C"/>
                    <w:lang w:eastAsia="en-GB"/>
                  </w:rPr>
                  <w:t xml:space="preserve"> the Chair that the conduct of the meeting provided evidence of meeting the responsibilities set out in the ARAC Terms of Reference and the commitments of the Governing Body as set out at </w:t>
                </w:r>
                <w:r w:rsidRPr="009B0A0D">
                  <w:rPr>
                    <w:rFonts w:asciiTheme="minorHAnsi" w:eastAsia="Times New Roman" w:hAnsiTheme="minorHAnsi" w:cstheme="minorHAnsi"/>
                    <w:b/>
                    <w:bCs/>
                    <w:color w:val="0000FF"/>
                    <w:lang w:eastAsia="en-GB"/>
                  </w:rPr>
                  <w:t>AC41 23/24</w:t>
                </w:r>
                <w:r w:rsidRPr="009B0A0D">
                  <w:rPr>
                    <w:rFonts w:asciiTheme="minorHAnsi" w:eastAsia="Times New Roman" w:hAnsiTheme="minorHAnsi" w:cstheme="minorHAnsi"/>
                    <w:color w:val="0B5294"/>
                    <w:lang w:eastAsia="en-GB"/>
                  </w:rPr>
                  <w:t> </w:t>
                </w:r>
                <w:r w:rsidRPr="009B0A0D">
                  <w:rPr>
                    <w:rFonts w:asciiTheme="minorHAnsi" w:eastAsia="Times New Roman" w:hAnsiTheme="minorHAnsi" w:cstheme="minorHAnsi"/>
                    <w:color w:val="161B1C"/>
                    <w:lang w:eastAsia="en-GB"/>
                  </w:rPr>
                  <w:t>above</w:t>
                </w:r>
                <w:r>
                  <w:rPr>
                    <w:rFonts w:asciiTheme="minorHAnsi" w:eastAsia="Times New Roman" w:hAnsiTheme="minorHAnsi" w:cstheme="minorHAnsi"/>
                    <w:color w:val="161B1C"/>
                    <w:lang w:eastAsia="en-GB"/>
                  </w:rPr>
                  <w:t>.</w:t>
                </w:r>
              </w:p>
              <w:p w14:paraId="2B8D824B" w14:textId="77777777" w:rsidR="005A25C6" w:rsidRDefault="005A25C6" w:rsidP="005A25C6">
                <w:pPr>
                  <w:shd w:val="clear" w:color="auto" w:fill="FFFFFF"/>
                  <w:rPr>
                    <w:b/>
                  </w:rPr>
                </w:pPr>
              </w:p>
            </w:tc>
          </w:tr>
          <w:tr w:rsidR="005A25C6" w14:paraId="2C053222" w14:textId="53B067ED" w:rsidTr="00AA618D">
            <w:tc>
              <w:tcPr>
                <w:tcW w:w="623" w:type="pct"/>
              </w:tcPr>
              <w:p w14:paraId="7FDED84E" w14:textId="0309E0C3" w:rsidR="005A25C6" w:rsidRDefault="005A25C6" w:rsidP="005A25C6">
                <w:pPr>
                  <w:tabs>
                    <w:tab w:val="right" w:pos="9026"/>
                  </w:tabs>
                  <w:rPr>
                    <w:b/>
                    <w:color w:val="073763" w:themeColor="accent1" w:themeShade="80"/>
                  </w:rPr>
                </w:pPr>
                <w:r w:rsidRPr="008E268F">
                  <w:rPr>
                    <w:b/>
                    <w:color w:val="073763" w:themeColor="accent1" w:themeShade="80"/>
                  </w:rPr>
                  <w:lastRenderedPageBreak/>
                  <w:t>AC</w:t>
                </w:r>
                <w:r>
                  <w:rPr>
                    <w:b/>
                    <w:color w:val="073763" w:themeColor="accent1" w:themeShade="80"/>
                  </w:rPr>
                  <w:t xml:space="preserve">54 </w:t>
                </w:r>
                <w:r w:rsidRPr="008E268F">
                  <w:rPr>
                    <w:b/>
                    <w:color w:val="073763" w:themeColor="accent1" w:themeShade="80"/>
                  </w:rPr>
                  <w:t>2</w:t>
                </w:r>
                <w:r>
                  <w:rPr>
                    <w:b/>
                    <w:color w:val="073763" w:themeColor="accent1" w:themeShade="80"/>
                  </w:rPr>
                  <w:t>3</w:t>
                </w:r>
                <w:r w:rsidRPr="008E268F">
                  <w:rPr>
                    <w:b/>
                    <w:color w:val="073763" w:themeColor="accent1" w:themeShade="80"/>
                  </w:rPr>
                  <w:t>/2</w:t>
                </w:r>
                <w:r>
                  <w:rPr>
                    <w:b/>
                    <w:color w:val="073763" w:themeColor="accent1" w:themeShade="80"/>
                  </w:rPr>
                  <w:t>4</w:t>
                </w:r>
              </w:p>
              <w:p w14:paraId="2DD7CBEF" w14:textId="77777777" w:rsidR="005A25C6" w:rsidRDefault="005A25C6" w:rsidP="005A25C6">
                <w:pPr>
                  <w:tabs>
                    <w:tab w:val="right" w:pos="9026"/>
                  </w:tabs>
                  <w:rPr>
                    <w:b/>
                    <w:color w:val="073763" w:themeColor="accent1" w:themeShade="80"/>
                  </w:rPr>
                </w:pPr>
              </w:p>
              <w:p w14:paraId="0AE68BF0" w14:textId="0205A6AC" w:rsidR="005A25C6" w:rsidRPr="008E268F" w:rsidRDefault="005A25C6" w:rsidP="005A25C6">
                <w:pPr>
                  <w:tabs>
                    <w:tab w:val="right" w:pos="9026"/>
                  </w:tabs>
                  <w:rPr>
                    <w:b/>
                    <w:color w:val="073763" w:themeColor="accent1" w:themeShade="80"/>
                  </w:rPr>
                </w:pPr>
                <w:r w:rsidRPr="00155E54">
                  <w:rPr>
                    <w:b/>
                  </w:rPr>
                  <w:t>Chair</w:t>
                </w:r>
              </w:p>
            </w:tc>
            <w:tc>
              <w:tcPr>
                <w:tcW w:w="4377" w:type="pct"/>
              </w:tcPr>
              <w:p w14:paraId="499324B8" w14:textId="77777777" w:rsidR="005A25C6" w:rsidRPr="00DA6BA9" w:rsidRDefault="005A25C6" w:rsidP="005A25C6">
                <w:pPr>
                  <w:tabs>
                    <w:tab w:val="right" w:pos="9026"/>
                  </w:tabs>
                  <w:rPr>
                    <w:b/>
                  </w:rPr>
                </w:pPr>
                <w:r w:rsidRPr="00DA6BA9">
                  <w:rPr>
                    <w:b/>
                  </w:rPr>
                  <w:t xml:space="preserve">Any Other Business </w:t>
                </w:r>
              </w:p>
              <w:p w14:paraId="2CF478F7" w14:textId="77777777" w:rsidR="005A25C6" w:rsidRDefault="005A25C6" w:rsidP="005A25C6">
                <w:pPr>
                  <w:tabs>
                    <w:tab w:val="right" w:pos="9026"/>
                  </w:tabs>
                </w:pPr>
              </w:p>
              <w:p w14:paraId="6E89A1A3" w14:textId="448EAA57" w:rsidR="005A25C6" w:rsidRDefault="005A25C6" w:rsidP="005A25C6">
                <w:pPr>
                  <w:rPr>
                    <w:rFonts w:cs="Arial"/>
                  </w:rPr>
                </w:pPr>
                <w:r>
                  <w:t>None advised at the meeting.</w:t>
                </w:r>
              </w:p>
              <w:p w14:paraId="340B2E8A" w14:textId="77777777" w:rsidR="005A25C6" w:rsidRDefault="005A25C6" w:rsidP="005A25C6">
                <w:pPr>
                  <w:tabs>
                    <w:tab w:val="right" w:pos="9026"/>
                  </w:tabs>
                  <w:rPr>
                    <w:b/>
                  </w:rPr>
                </w:pPr>
              </w:p>
            </w:tc>
          </w:tr>
          <w:tr w:rsidR="005A25C6" w14:paraId="31C86A65" w14:textId="2340A815" w:rsidTr="00AA618D">
            <w:tc>
              <w:tcPr>
                <w:tcW w:w="623" w:type="pct"/>
              </w:tcPr>
              <w:p w14:paraId="75FF2E3A" w14:textId="3F5AFBEC" w:rsidR="005A25C6" w:rsidRDefault="005A25C6" w:rsidP="005A25C6">
                <w:pPr>
                  <w:rPr>
                    <w:b/>
                    <w:color w:val="073763" w:themeColor="accent1" w:themeShade="80"/>
                  </w:rPr>
                </w:pPr>
                <w:r w:rsidRPr="008E268F">
                  <w:rPr>
                    <w:b/>
                    <w:color w:val="073763" w:themeColor="accent1" w:themeShade="80"/>
                  </w:rPr>
                  <w:t>AC</w:t>
                </w:r>
                <w:r>
                  <w:rPr>
                    <w:b/>
                    <w:color w:val="073763" w:themeColor="accent1" w:themeShade="80"/>
                  </w:rPr>
                  <w:t xml:space="preserve">55 </w:t>
                </w:r>
                <w:r w:rsidRPr="008E268F">
                  <w:rPr>
                    <w:b/>
                    <w:color w:val="073763" w:themeColor="accent1" w:themeShade="80"/>
                  </w:rPr>
                  <w:t>2</w:t>
                </w:r>
                <w:r>
                  <w:rPr>
                    <w:b/>
                    <w:color w:val="073763" w:themeColor="accent1" w:themeShade="80"/>
                  </w:rPr>
                  <w:t>3</w:t>
                </w:r>
                <w:r w:rsidRPr="008E268F">
                  <w:rPr>
                    <w:b/>
                    <w:color w:val="073763" w:themeColor="accent1" w:themeShade="80"/>
                  </w:rPr>
                  <w:t>/2</w:t>
                </w:r>
                <w:r>
                  <w:rPr>
                    <w:b/>
                    <w:color w:val="073763" w:themeColor="accent1" w:themeShade="80"/>
                  </w:rPr>
                  <w:t>4</w:t>
                </w:r>
              </w:p>
              <w:p w14:paraId="06701B87" w14:textId="77777777" w:rsidR="005A25C6" w:rsidRDefault="005A25C6" w:rsidP="005A25C6">
                <w:pPr>
                  <w:rPr>
                    <w:b/>
                    <w:color w:val="073763" w:themeColor="accent1" w:themeShade="80"/>
                  </w:rPr>
                </w:pPr>
              </w:p>
              <w:p w14:paraId="59C23010" w14:textId="77777777" w:rsidR="005A25C6" w:rsidRDefault="005A25C6" w:rsidP="005A25C6">
                <w:pPr>
                  <w:rPr>
                    <w:b/>
                  </w:rPr>
                </w:pPr>
              </w:p>
              <w:p w14:paraId="5A788543" w14:textId="77777777" w:rsidR="005A25C6" w:rsidRDefault="005A25C6" w:rsidP="005A25C6">
                <w:pPr>
                  <w:rPr>
                    <w:b/>
                  </w:rPr>
                </w:pPr>
              </w:p>
              <w:p w14:paraId="5E611F90" w14:textId="09BAB32D" w:rsidR="005A25C6" w:rsidRPr="008E268F" w:rsidRDefault="005A25C6" w:rsidP="005A25C6">
                <w:pPr>
                  <w:rPr>
                    <w:color w:val="073763" w:themeColor="accent1" w:themeShade="80"/>
                  </w:rPr>
                </w:pPr>
                <w:r w:rsidRPr="00155E54">
                  <w:rPr>
                    <w:b/>
                  </w:rPr>
                  <w:t>Chair</w:t>
                </w:r>
              </w:p>
            </w:tc>
            <w:tc>
              <w:tcPr>
                <w:tcW w:w="4377" w:type="pct"/>
              </w:tcPr>
              <w:p w14:paraId="4F04AFA7" w14:textId="73107485" w:rsidR="005A25C6" w:rsidRPr="00797905" w:rsidRDefault="005A25C6" w:rsidP="005A25C6">
                <w:pPr>
                  <w:tabs>
                    <w:tab w:val="right" w:pos="9026"/>
                  </w:tabs>
                  <w:rPr>
                    <w:rFonts w:asciiTheme="minorHAnsi" w:hAnsiTheme="minorHAnsi" w:cstheme="minorHAnsi"/>
                    <w:b/>
                  </w:rPr>
                </w:pPr>
                <w:r w:rsidRPr="00797905">
                  <w:rPr>
                    <w:rFonts w:asciiTheme="minorHAnsi" w:hAnsiTheme="minorHAnsi" w:cstheme="minorHAnsi"/>
                    <w:b/>
                  </w:rPr>
                  <w:t xml:space="preserve">Date of next meeting </w:t>
                </w:r>
              </w:p>
              <w:p w14:paraId="59530900" w14:textId="77777777" w:rsidR="005A25C6" w:rsidRPr="00797905" w:rsidRDefault="005A25C6" w:rsidP="005A25C6">
                <w:pPr>
                  <w:tabs>
                    <w:tab w:val="right" w:pos="9026"/>
                  </w:tabs>
                  <w:rPr>
                    <w:rFonts w:asciiTheme="minorHAnsi" w:hAnsiTheme="minorHAnsi" w:cstheme="minorHAnsi"/>
                    <w:b/>
                  </w:rPr>
                </w:pPr>
              </w:p>
              <w:p w14:paraId="20525E4F" w14:textId="77777777" w:rsidR="005A25C6" w:rsidRPr="00797905" w:rsidRDefault="005A25C6" w:rsidP="005A25C6">
                <w:pPr>
                  <w:pStyle w:val="NormalWeb"/>
                  <w:shd w:val="clear" w:color="auto" w:fill="FFFFFF"/>
                  <w:spacing w:before="0" w:beforeAutospacing="0"/>
                  <w:rPr>
                    <w:rFonts w:asciiTheme="minorHAnsi" w:hAnsiTheme="minorHAnsi" w:cstheme="minorHAnsi"/>
                    <w:color w:val="161B1C"/>
                    <w:sz w:val="22"/>
                    <w:szCs w:val="22"/>
                  </w:rPr>
                </w:pPr>
                <w:r w:rsidRPr="00797905">
                  <w:rPr>
                    <w:rFonts w:asciiTheme="minorHAnsi" w:hAnsiTheme="minorHAnsi" w:cstheme="minorHAnsi"/>
                    <w:b/>
                    <w:bCs/>
                    <w:color w:val="161B1C"/>
                    <w:sz w:val="22"/>
                    <w:szCs w:val="22"/>
                  </w:rPr>
                  <w:t>Governance Programme 2023/24 Cycle  4: </w:t>
                </w:r>
                <w:r w:rsidRPr="00797905">
                  <w:rPr>
                    <w:rFonts w:asciiTheme="minorHAnsi" w:hAnsiTheme="minorHAnsi" w:cstheme="minorHAnsi"/>
                    <w:color w:val="161B1C"/>
                    <w:sz w:val="22"/>
                    <w:szCs w:val="22"/>
                  </w:rPr>
                  <w:t>The </w:t>
                </w:r>
                <w:r w:rsidRPr="00797905">
                  <w:rPr>
                    <w:rFonts w:asciiTheme="minorHAnsi" w:hAnsiTheme="minorHAnsi" w:cstheme="minorHAnsi"/>
                    <w:b/>
                    <w:bCs/>
                    <w:color w:val="161B1C"/>
                    <w:sz w:val="22"/>
                    <w:szCs w:val="22"/>
                    <w:u w:val="single"/>
                  </w:rPr>
                  <w:t>fourth</w:t>
                </w:r>
                <w:r w:rsidRPr="00797905">
                  <w:rPr>
                    <w:rFonts w:asciiTheme="minorHAnsi" w:hAnsiTheme="minorHAnsi" w:cstheme="minorHAnsi"/>
                    <w:color w:val="161B1C"/>
                    <w:sz w:val="22"/>
                    <w:szCs w:val="22"/>
                  </w:rPr>
                  <w:t> meeting of the Audit and Risk Assurance Committee in 2023/24 will be held at </w:t>
                </w:r>
                <w:r w:rsidRPr="00797905">
                  <w:rPr>
                    <w:rFonts w:asciiTheme="minorHAnsi" w:hAnsiTheme="minorHAnsi" w:cstheme="minorHAnsi"/>
                    <w:b/>
                    <w:bCs/>
                    <w:color w:val="00B050"/>
                    <w:sz w:val="22"/>
                    <w:szCs w:val="22"/>
                  </w:rPr>
                  <w:t>3.00pm on Tuesday 11 June 24</w:t>
                </w:r>
                <w:r w:rsidRPr="00797905">
                  <w:rPr>
                    <w:rFonts w:asciiTheme="minorHAnsi" w:hAnsiTheme="minorHAnsi" w:cstheme="minorHAnsi"/>
                    <w:color w:val="161B1C"/>
                    <w:sz w:val="22"/>
                    <w:szCs w:val="22"/>
                  </w:rPr>
                  <w:t> at </w:t>
                </w:r>
                <w:r w:rsidRPr="00797905">
                  <w:rPr>
                    <w:rFonts w:asciiTheme="minorHAnsi" w:hAnsiTheme="minorHAnsi" w:cstheme="minorHAnsi"/>
                    <w:color w:val="000000"/>
                    <w:sz w:val="22"/>
                    <w:szCs w:val="22"/>
                  </w:rPr>
                  <w:t>the Titanic Quarter Boardroom</w:t>
                </w:r>
                <w:r w:rsidRPr="00797905">
                  <w:rPr>
                    <w:rFonts w:asciiTheme="minorHAnsi" w:hAnsiTheme="minorHAnsi" w:cstheme="minorHAnsi"/>
                    <w:color w:val="FF0000"/>
                    <w:sz w:val="22"/>
                    <w:szCs w:val="22"/>
                  </w:rPr>
                  <w:t> </w:t>
                </w:r>
                <w:r w:rsidRPr="00797905">
                  <w:rPr>
                    <w:rFonts w:asciiTheme="minorHAnsi" w:hAnsiTheme="minorHAnsi" w:cstheme="minorHAnsi"/>
                    <w:color w:val="161B1C"/>
                    <w:sz w:val="22"/>
                    <w:szCs w:val="22"/>
                  </w:rPr>
                  <w:t>and via Microsoft Teams (</w:t>
                </w:r>
                <w:r w:rsidRPr="00797905">
                  <w:rPr>
                    <w:rFonts w:asciiTheme="minorHAnsi" w:hAnsiTheme="minorHAnsi" w:cstheme="minorHAnsi"/>
                    <w:b/>
                    <w:bCs/>
                    <w:color w:val="0000FF"/>
                    <w:sz w:val="22"/>
                    <w:szCs w:val="22"/>
                  </w:rPr>
                  <w:t>AC57 22/23 13 June 23</w:t>
                </w:r>
                <w:r w:rsidRPr="00797905">
                  <w:rPr>
                    <w:rFonts w:asciiTheme="minorHAnsi" w:hAnsiTheme="minorHAnsi" w:cstheme="minorHAnsi"/>
                    <w:color w:val="161B1C"/>
                    <w:sz w:val="22"/>
                    <w:szCs w:val="22"/>
                  </w:rPr>
                  <w:t> refers); </w:t>
                </w:r>
              </w:p>
              <w:p w14:paraId="12F8AEE7" w14:textId="77777777" w:rsidR="005A25C6" w:rsidRPr="00797905" w:rsidRDefault="005A25C6" w:rsidP="005A25C6">
                <w:pPr>
                  <w:pStyle w:val="NormalWeb"/>
                  <w:shd w:val="clear" w:color="auto" w:fill="FFFFFF"/>
                  <w:spacing w:before="0" w:beforeAutospacing="0"/>
                  <w:rPr>
                    <w:rFonts w:asciiTheme="minorHAnsi" w:hAnsiTheme="minorHAnsi" w:cstheme="minorHAnsi"/>
                    <w:color w:val="161B1C"/>
                    <w:sz w:val="22"/>
                    <w:szCs w:val="22"/>
                  </w:rPr>
                </w:pPr>
                <w:r w:rsidRPr="00797905">
                  <w:rPr>
                    <w:rFonts w:asciiTheme="minorHAnsi" w:hAnsiTheme="minorHAnsi" w:cstheme="minorHAnsi"/>
                    <w:b/>
                    <w:bCs/>
                    <w:color w:val="161B1C"/>
                    <w:sz w:val="22"/>
                    <w:szCs w:val="22"/>
                  </w:rPr>
                  <w:t>Governance Programme 2024/25 Cycle 1:</w:t>
                </w:r>
                <w:r w:rsidRPr="00797905">
                  <w:rPr>
                    <w:rFonts w:asciiTheme="minorHAnsi" w:hAnsiTheme="minorHAnsi" w:cstheme="minorHAnsi"/>
                    <w:color w:val="161B1C"/>
                    <w:sz w:val="22"/>
                    <w:szCs w:val="22"/>
                  </w:rPr>
                  <w:t>  The</w:t>
                </w:r>
                <w:r w:rsidRPr="00797905">
                  <w:rPr>
                    <w:rFonts w:asciiTheme="minorHAnsi" w:hAnsiTheme="minorHAnsi" w:cstheme="minorHAnsi"/>
                    <w:b/>
                    <w:bCs/>
                    <w:color w:val="161B1C"/>
                    <w:sz w:val="22"/>
                    <w:szCs w:val="22"/>
                  </w:rPr>
                  <w:t> </w:t>
                </w:r>
                <w:r w:rsidRPr="00797905">
                  <w:rPr>
                    <w:rFonts w:asciiTheme="minorHAnsi" w:hAnsiTheme="minorHAnsi" w:cstheme="minorHAnsi"/>
                    <w:b/>
                    <w:bCs/>
                    <w:color w:val="161B1C"/>
                    <w:sz w:val="22"/>
                    <w:szCs w:val="22"/>
                    <w:u w:val="single"/>
                  </w:rPr>
                  <w:t>first</w:t>
                </w:r>
                <w:r w:rsidRPr="00797905">
                  <w:rPr>
                    <w:rFonts w:asciiTheme="minorHAnsi" w:hAnsiTheme="minorHAnsi" w:cstheme="minorHAnsi"/>
                    <w:color w:val="161B1C"/>
                    <w:sz w:val="22"/>
                    <w:szCs w:val="22"/>
                  </w:rPr>
                  <w:t> meeting of the Audit and Risk Assurance Committee in 2024/25 will be held at </w:t>
                </w:r>
                <w:r w:rsidRPr="00797905">
                  <w:rPr>
                    <w:rFonts w:asciiTheme="minorHAnsi" w:hAnsiTheme="minorHAnsi" w:cstheme="minorHAnsi"/>
                    <w:b/>
                    <w:bCs/>
                    <w:color w:val="00B050"/>
                    <w:sz w:val="22"/>
                    <w:szCs w:val="22"/>
                  </w:rPr>
                  <w:t>3.00pm on Monday 16 September 2024</w:t>
                </w:r>
                <w:r w:rsidRPr="00797905">
                  <w:rPr>
                    <w:rFonts w:asciiTheme="minorHAnsi" w:hAnsiTheme="minorHAnsi" w:cstheme="minorHAnsi"/>
                    <w:color w:val="161B1C"/>
                    <w:sz w:val="22"/>
                    <w:szCs w:val="22"/>
                  </w:rPr>
                  <w:t> at </w:t>
                </w:r>
                <w:r w:rsidRPr="00797905">
                  <w:rPr>
                    <w:rFonts w:asciiTheme="minorHAnsi" w:hAnsiTheme="minorHAnsi" w:cstheme="minorHAnsi"/>
                    <w:color w:val="000000"/>
                    <w:sz w:val="22"/>
                    <w:szCs w:val="22"/>
                  </w:rPr>
                  <w:t>Titanic Quarter Boardroom</w:t>
                </w:r>
                <w:r w:rsidRPr="00797905">
                  <w:rPr>
                    <w:rFonts w:asciiTheme="minorHAnsi" w:hAnsiTheme="minorHAnsi" w:cstheme="minorHAnsi"/>
                    <w:color w:val="FF0000"/>
                    <w:sz w:val="22"/>
                    <w:szCs w:val="22"/>
                  </w:rPr>
                  <w:t> </w:t>
                </w:r>
                <w:r w:rsidRPr="00797905">
                  <w:rPr>
                    <w:rFonts w:asciiTheme="minorHAnsi" w:hAnsiTheme="minorHAnsi" w:cstheme="minorHAnsi"/>
                    <w:color w:val="161B1C"/>
                    <w:sz w:val="22"/>
                    <w:szCs w:val="22"/>
                  </w:rPr>
                  <w:t>and via Microsoft Teams; and,</w:t>
                </w:r>
              </w:p>
              <w:p w14:paraId="695AA237" w14:textId="77777777" w:rsidR="005A25C6" w:rsidRPr="00797905" w:rsidRDefault="005A25C6" w:rsidP="005A25C6">
                <w:pPr>
                  <w:pStyle w:val="NormalWeb"/>
                  <w:shd w:val="clear" w:color="auto" w:fill="FFFFFF"/>
                  <w:spacing w:before="0" w:beforeAutospacing="0"/>
                  <w:rPr>
                    <w:rFonts w:asciiTheme="minorHAnsi" w:hAnsiTheme="minorHAnsi" w:cstheme="minorHAnsi"/>
                    <w:color w:val="161B1C"/>
                    <w:sz w:val="22"/>
                    <w:szCs w:val="22"/>
                  </w:rPr>
                </w:pPr>
                <w:r w:rsidRPr="00797905">
                  <w:rPr>
                    <w:rFonts w:asciiTheme="minorHAnsi" w:hAnsiTheme="minorHAnsi" w:cstheme="minorHAnsi"/>
                    <w:b/>
                    <w:bCs/>
                    <w:color w:val="161B1C"/>
                    <w:sz w:val="22"/>
                    <w:szCs w:val="22"/>
                  </w:rPr>
                  <w:t>Governance Programme 2024/25 Cycle 3</w:t>
                </w:r>
                <w:r w:rsidRPr="00797905">
                  <w:rPr>
                    <w:rFonts w:asciiTheme="minorHAnsi" w:hAnsiTheme="minorHAnsi" w:cstheme="minorHAnsi"/>
                    <w:color w:val="161B1C"/>
                    <w:sz w:val="22"/>
                    <w:szCs w:val="22"/>
                  </w:rPr>
                  <w:t>: The </w:t>
                </w:r>
                <w:r w:rsidRPr="00797905">
                  <w:rPr>
                    <w:rFonts w:asciiTheme="minorHAnsi" w:hAnsiTheme="minorHAnsi" w:cstheme="minorHAnsi"/>
                    <w:b/>
                    <w:bCs/>
                    <w:color w:val="161B1C"/>
                    <w:sz w:val="22"/>
                    <w:szCs w:val="22"/>
                    <w:u w:val="single"/>
                  </w:rPr>
                  <w:t>third</w:t>
                </w:r>
                <w:r w:rsidRPr="00797905">
                  <w:rPr>
                    <w:rFonts w:asciiTheme="minorHAnsi" w:hAnsiTheme="minorHAnsi" w:cstheme="minorHAnsi"/>
                    <w:color w:val="161B1C"/>
                    <w:sz w:val="22"/>
                    <w:szCs w:val="22"/>
                  </w:rPr>
                  <w:t> meeting of the Audit and Risk Assurance Committee in 2024/25 will be held at </w:t>
                </w:r>
                <w:r w:rsidRPr="00797905">
                  <w:rPr>
                    <w:rFonts w:asciiTheme="minorHAnsi" w:hAnsiTheme="minorHAnsi" w:cstheme="minorHAnsi"/>
                    <w:b/>
                    <w:bCs/>
                    <w:color w:val="6BA54A"/>
                    <w:sz w:val="22"/>
                    <w:szCs w:val="22"/>
                  </w:rPr>
                  <w:t>3.00pm on Tuesday 11 March 2025</w:t>
                </w:r>
                <w:r w:rsidRPr="00797905">
                  <w:rPr>
                    <w:rFonts w:asciiTheme="minorHAnsi" w:hAnsiTheme="minorHAnsi" w:cstheme="minorHAnsi"/>
                    <w:color w:val="161B1C"/>
                    <w:sz w:val="22"/>
                    <w:szCs w:val="22"/>
                  </w:rPr>
                  <w:t> at Titanic Quarter Boardroom and via Microsoft Teams.</w:t>
                </w:r>
              </w:p>
              <w:p w14:paraId="0CB47FD0" w14:textId="0CE47D32" w:rsidR="005A25C6" w:rsidRPr="00930176" w:rsidRDefault="005A25C6" w:rsidP="005A25C6">
                <w:pPr>
                  <w:pStyle w:val="NormalWeb"/>
                  <w:shd w:val="clear" w:color="auto" w:fill="FFFFFF"/>
                  <w:spacing w:before="0" w:beforeAutospacing="0"/>
                  <w:rPr>
                    <w:rFonts w:asciiTheme="minorHAnsi" w:hAnsiTheme="minorHAnsi" w:cstheme="minorHAnsi"/>
                    <w:color w:val="161B1C"/>
                    <w:sz w:val="22"/>
                    <w:szCs w:val="22"/>
                  </w:rPr>
                </w:pPr>
                <w:r w:rsidRPr="00930176">
                  <w:rPr>
                    <w:rFonts w:asciiTheme="minorHAnsi" w:hAnsiTheme="minorHAnsi" w:cstheme="minorHAnsi"/>
                    <w:color w:val="161B1C"/>
                    <w:sz w:val="22"/>
                    <w:szCs w:val="22"/>
                  </w:rPr>
                  <w:t>Meeting end at</w:t>
                </w:r>
                <w:r w:rsidR="002C1B98" w:rsidRPr="00930176">
                  <w:rPr>
                    <w:rFonts w:asciiTheme="minorHAnsi" w:hAnsiTheme="minorHAnsi" w:cstheme="minorHAnsi"/>
                    <w:color w:val="161B1C"/>
                    <w:sz w:val="22"/>
                    <w:szCs w:val="22"/>
                  </w:rPr>
                  <w:t xml:space="preserve"> </w:t>
                </w:r>
                <w:r w:rsidR="00930176" w:rsidRPr="00930176">
                  <w:rPr>
                    <w:rFonts w:asciiTheme="minorHAnsi" w:hAnsiTheme="minorHAnsi" w:cstheme="minorHAnsi"/>
                    <w:sz w:val="22"/>
                    <w:szCs w:val="22"/>
                  </w:rPr>
                  <w:t>4</w:t>
                </w:r>
                <w:r w:rsidRPr="00930176">
                  <w:rPr>
                    <w:rFonts w:asciiTheme="minorHAnsi" w:hAnsiTheme="minorHAnsi" w:cstheme="minorHAnsi"/>
                    <w:sz w:val="22"/>
                    <w:szCs w:val="22"/>
                  </w:rPr>
                  <w:t>.</w:t>
                </w:r>
                <w:r w:rsidR="00930176" w:rsidRPr="00930176">
                  <w:rPr>
                    <w:rFonts w:asciiTheme="minorHAnsi" w:hAnsiTheme="minorHAnsi" w:cstheme="minorHAnsi"/>
                    <w:sz w:val="22"/>
                    <w:szCs w:val="22"/>
                  </w:rPr>
                  <w:t>4</w:t>
                </w:r>
                <w:r w:rsidRPr="00930176">
                  <w:rPr>
                    <w:rFonts w:asciiTheme="minorHAnsi" w:hAnsiTheme="minorHAnsi" w:cstheme="minorHAnsi"/>
                    <w:sz w:val="22"/>
                    <w:szCs w:val="22"/>
                  </w:rPr>
                  <w:t>0pm. </w:t>
                </w:r>
              </w:p>
              <w:p w14:paraId="714CFE65" w14:textId="3C85FE48" w:rsidR="005A25C6" w:rsidRDefault="005A25C6" w:rsidP="005A25C6">
                <w:pPr>
                  <w:tabs>
                    <w:tab w:val="right" w:pos="9026"/>
                  </w:tabs>
                </w:pPr>
              </w:p>
            </w:tc>
          </w:tr>
        </w:tbl>
        <w:p w14:paraId="1CBE224A" w14:textId="4833D96C" w:rsidR="009D7A12" w:rsidRDefault="00000000" w:rsidP="009D7A12">
          <w:pPr>
            <w:tabs>
              <w:tab w:val="right" w:pos="9026"/>
            </w:tabs>
          </w:pPr>
        </w:p>
      </w:sdtContent>
    </w:sdt>
    <w:p w14:paraId="15A2C8B6" w14:textId="77777777" w:rsidR="00BC0329" w:rsidRDefault="00BC0329" w:rsidP="00BC0329"/>
    <w:p w14:paraId="282D9434" w14:textId="3DB987A0" w:rsidR="00967EC7" w:rsidRDefault="00967EC7" w:rsidP="00967EC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Seamus McGoran</w:t>
      </w:r>
    </w:p>
    <w:p w14:paraId="779B4A75" w14:textId="4E49581A" w:rsidR="00967EC7" w:rsidRDefault="00967EC7" w:rsidP="00967EC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Chair of Governing Body Audit and Risk Assurance Committee</w:t>
      </w:r>
      <w:r>
        <w:rPr>
          <w:rStyle w:val="eop"/>
          <w:rFonts w:ascii="Calibri" w:hAnsi="Calibri" w:cs="Calibri"/>
          <w:sz w:val="22"/>
          <w:szCs w:val="22"/>
        </w:rPr>
        <w:t> </w:t>
      </w:r>
    </w:p>
    <w:p w14:paraId="1B8453DB" w14:textId="77777777" w:rsidR="00967EC7" w:rsidRDefault="00967EC7" w:rsidP="00967EC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3E91BB05" w14:textId="77777777" w:rsidR="00967EC7" w:rsidRDefault="00967EC7" w:rsidP="00967EC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7C08D13" w14:textId="77777777" w:rsidR="00967EC7" w:rsidRDefault="00967EC7" w:rsidP="00967EC7">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30F0FF13" w14:textId="77777777" w:rsidR="00967EC7" w:rsidRDefault="00967EC7" w:rsidP="00967EC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28764868" w14:textId="77777777" w:rsidR="00967EC7" w:rsidRDefault="00967EC7" w:rsidP="00967EC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5CC482B7" w14:textId="77777777" w:rsidR="00967EC7" w:rsidRDefault="00967EC7" w:rsidP="00967EC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79D78483" w14:textId="77777777" w:rsidR="00967EC7" w:rsidRDefault="00967EC7" w:rsidP="00967EC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Signature                                                                                                          Date</w:t>
      </w:r>
      <w:r>
        <w:rPr>
          <w:rStyle w:val="normaltextrun"/>
          <w:rFonts w:ascii="Calibri" w:hAnsi="Calibri" w:cs="Calibri"/>
          <w:sz w:val="22"/>
          <w:szCs w:val="22"/>
        </w:rPr>
        <w:t> </w:t>
      </w:r>
      <w:r>
        <w:rPr>
          <w:rStyle w:val="eop"/>
          <w:rFonts w:ascii="Calibri" w:hAnsi="Calibri" w:cs="Calibri"/>
          <w:sz w:val="22"/>
          <w:szCs w:val="22"/>
        </w:rPr>
        <w:t> </w:t>
      </w:r>
    </w:p>
    <w:p w14:paraId="118E6DD7" w14:textId="77777777" w:rsidR="00967EC7" w:rsidRDefault="00967EC7" w:rsidP="00BC0329"/>
    <w:p w14:paraId="0828DD7A" w14:textId="5DD4DAA7" w:rsidR="00E032C2" w:rsidRPr="00E032C2" w:rsidRDefault="00E032C2" w:rsidP="00E032C2"/>
    <w:p w14:paraId="3A2BF1C9" w14:textId="4CF59DC6" w:rsidR="00E032C2" w:rsidRPr="00E032C2" w:rsidRDefault="00582FAC" w:rsidP="00E032C2">
      <w:r>
        <w:rPr>
          <w:rStyle w:val="normaltextrun"/>
          <w:rFonts w:cs="Calibri"/>
          <w:color w:val="000000"/>
          <w:shd w:val="clear" w:color="auto" w:fill="FFFFFF"/>
        </w:rPr>
        <w:t>M</w:t>
      </w:r>
      <w:r w:rsidR="00D86B8B">
        <w:rPr>
          <w:rStyle w:val="normaltextrun"/>
          <w:rFonts w:cs="Calibri"/>
          <w:color w:val="000000"/>
          <w:shd w:val="clear" w:color="auto" w:fill="FFFFFF"/>
        </w:rPr>
        <w:t>inutes adopted at Governing Body meeting on</w:t>
      </w:r>
      <w:r>
        <w:rPr>
          <w:rStyle w:val="normaltextrun"/>
          <w:rFonts w:cs="Calibri"/>
          <w:color w:val="000000"/>
          <w:shd w:val="clear" w:color="auto" w:fill="FFFFFF"/>
        </w:rPr>
        <w:t xml:space="preserve"> 25 June 2024.</w:t>
      </w:r>
    </w:p>
    <w:p w14:paraId="0C0D6CD7" w14:textId="0AA13714" w:rsidR="00E032C2" w:rsidRPr="00E032C2" w:rsidRDefault="00E032C2" w:rsidP="00E032C2">
      <w:pPr>
        <w:tabs>
          <w:tab w:val="left" w:pos="6220"/>
        </w:tabs>
      </w:pPr>
    </w:p>
    <w:sectPr w:rsidR="00E032C2" w:rsidRPr="00E032C2" w:rsidSect="00AA618D">
      <w:headerReference w:type="even" r:id="rId12"/>
      <w:headerReference w:type="default" r:id="rId13"/>
      <w:footerReference w:type="default" r:id="rId14"/>
      <w:headerReference w:type="first" r:id="rId15"/>
      <w:pgSz w:w="11906" w:h="16838"/>
      <w:pgMar w:top="1440" w:right="1440" w:bottom="1440" w:left="1440" w:header="454"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C406D" w14:textId="77777777" w:rsidR="00832A12" w:rsidRDefault="00832A12" w:rsidP="0046542E">
      <w:pPr>
        <w:spacing w:after="0" w:line="240" w:lineRule="auto"/>
      </w:pPr>
      <w:r>
        <w:separator/>
      </w:r>
    </w:p>
  </w:endnote>
  <w:endnote w:type="continuationSeparator" w:id="0">
    <w:p w14:paraId="0F0E5D45" w14:textId="77777777" w:rsidR="00832A12" w:rsidRDefault="00832A12" w:rsidP="0046542E">
      <w:pPr>
        <w:spacing w:after="0" w:line="240" w:lineRule="auto"/>
      </w:pPr>
      <w:r>
        <w:continuationSeparator/>
      </w:r>
    </w:p>
  </w:endnote>
  <w:endnote w:type="continuationNotice" w:id="1">
    <w:p w14:paraId="2F145FD9" w14:textId="77777777" w:rsidR="00832A12" w:rsidRDefault="00832A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rPr>
      <w:id w:val="-1031790971"/>
      <w:docPartObj>
        <w:docPartGallery w:val="Page Numbers (Bottom of Page)"/>
        <w:docPartUnique/>
      </w:docPartObj>
    </w:sdtPr>
    <w:sdtEndPr>
      <w:rPr>
        <w:rFonts w:ascii="Calibri" w:eastAsia="Calibri" w:hAnsi="Calibri" w:cs="Times New Roman"/>
        <w:color w:val="FF0000"/>
      </w:rPr>
    </w:sdtEndPr>
    <w:sdtContent>
      <w:sdt>
        <w:sdtPr>
          <w:rPr>
            <w:rFonts w:asciiTheme="minorHAnsi" w:eastAsiaTheme="minorHAnsi" w:hAnsiTheme="minorHAnsi" w:cstheme="minorBidi"/>
          </w:rPr>
          <w:id w:val="-1705238520"/>
          <w:docPartObj>
            <w:docPartGallery w:val="Page Numbers (Top of Page)"/>
            <w:docPartUnique/>
          </w:docPartObj>
        </w:sdtPr>
        <w:sdtEndPr>
          <w:rPr>
            <w:rFonts w:ascii="Calibri" w:eastAsia="Calibri" w:hAnsi="Calibri" w:cs="Times New Roman"/>
            <w:color w:val="FF0000"/>
          </w:rPr>
        </w:sdtEndPr>
        <w:sdtContent>
          <w:p w14:paraId="51AAF913" w14:textId="77B0B33F" w:rsidR="0088655A" w:rsidRPr="0088655A" w:rsidRDefault="0088655A" w:rsidP="0047128B">
            <w:r w:rsidRPr="0088655A">
              <w:t xml:space="preserve">Page </w:t>
            </w:r>
            <w:r w:rsidRPr="0088655A">
              <w:rPr>
                <w:b/>
                <w:bCs/>
              </w:rPr>
              <w:fldChar w:fldCharType="begin"/>
            </w:r>
            <w:r w:rsidRPr="0088655A">
              <w:rPr>
                <w:b/>
                <w:bCs/>
              </w:rPr>
              <w:instrText xml:space="preserve"> PAGE </w:instrText>
            </w:r>
            <w:r w:rsidRPr="0088655A">
              <w:rPr>
                <w:b/>
                <w:bCs/>
              </w:rPr>
              <w:fldChar w:fldCharType="separate"/>
            </w:r>
            <w:r w:rsidR="0043285C">
              <w:rPr>
                <w:b/>
                <w:bCs/>
                <w:noProof/>
              </w:rPr>
              <w:t>3</w:t>
            </w:r>
            <w:r w:rsidRPr="0088655A">
              <w:rPr>
                <w:b/>
                <w:bCs/>
              </w:rPr>
              <w:fldChar w:fldCharType="end"/>
            </w:r>
            <w:r w:rsidRPr="0088655A">
              <w:t xml:space="preserve"> of </w:t>
            </w:r>
            <w:r w:rsidRPr="0088655A">
              <w:rPr>
                <w:b/>
                <w:bCs/>
              </w:rPr>
              <w:fldChar w:fldCharType="begin"/>
            </w:r>
            <w:r w:rsidRPr="0088655A">
              <w:rPr>
                <w:b/>
                <w:bCs/>
              </w:rPr>
              <w:instrText xml:space="preserve"> NUMPAGES  </w:instrText>
            </w:r>
            <w:r w:rsidRPr="0088655A">
              <w:rPr>
                <w:b/>
                <w:bCs/>
              </w:rPr>
              <w:fldChar w:fldCharType="separate"/>
            </w:r>
            <w:r w:rsidR="0043285C">
              <w:rPr>
                <w:b/>
                <w:bCs/>
                <w:noProof/>
              </w:rPr>
              <w:t>3</w:t>
            </w:r>
            <w:r w:rsidRPr="0088655A">
              <w:rPr>
                <w:b/>
                <w:bCs/>
              </w:rPr>
              <w:fldChar w:fldCharType="end"/>
            </w:r>
            <w:r w:rsidRPr="0088655A">
              <w:rPr>
                <w:b/>
                <w:bCs/>
              </w:rPr>
              <w:t xml:space="preserve"> </w:t>
            </w:r>
            <w:r w:rsidR="00EE6AF8" w:rsidRPr="00731916">
              <w:rPr>
                <w:b/>
                <w:bCs/>
                <w:color w:val="104864" w:themeColor="background2" w:themeShade="40"/>
              </w:rPr>
              <w:t>AC</w:t>
            </w:r>
            <w:r w:rsidR="00987DF8">
              <w:rPr>
                <w:b/>
                <w:bCs/>
                <w:color w:val="104864" w:themeColor="background2" w:themeShade="40"/>
              </w:rPr>
              <w:t>57</w:t>
            </w:r>
            <w:r w:rsidR="000F284E">
              <w:rPr>
                <w:b/>
                <w:bCs/>
                <w:color w:val="104864" w:themeColor="background2" w:themeShade="40"/>
              </w:rPr>
              <w:t xml:space="preserve"> </w:t>
            </w:r>
            <w:r w:rsidR="00193FAA" w:rsidRPr="00731916">
              <w:rPr>
                <w:b/>
                <w:bCs/>
                <w:color w:val="104864" w:themeColor="background2" w:themeShade="40"/>
              </w:rPr>
              <w:t>2</w:t>
            </w:r>
            <w:r w:rsidR="00A36F8F">
              <w:rPr>
                <w:b/>
                <w:bCs/>
                <w:color w:val="104864" w:themeColor="background2" w:themeShade="40"/>
              </w:rPr>
              <w:t>3</w:t>
            </w:r>
            <w:r w:rsidRPr="00731916">
              <w:rPr>
                <w:b/>
                <w:bCs/>
                <w:color w:val="104864" w:themeColor="background2" w:themeShade="40"/>
              </w:rPr>
              <w:t>/2</w:t>
            </w:r>
            <w:r w:rsidR="00A36F8F">
              <w:rPr>
                <w:b/>
                <w:bCs/>
                <w:color w:val="104864" w:themeColor="background2" w:themeShade="40"/>
              </w:rPr>
              <w:t>4</w:t>
            </w:r>
            <w:r w:rsidRPr="00731916">
              <w:rPr>
                <w:b/>
                <w:bCs/>
                <w:color w:val="104864" w:themeColor="background2" w:themeShade="40"/>
              </w:rPr>
              <w:t xml:space="preserve"> </w:t>
            </w:r>
            <w:r w:rsidR="00987DF8">
              <w:rPr>
                <w:b/>
                <w:bCs/>
                <w:color w:val="104864" w:themeColor="background2" w:themeShade="40"/>
              </w:rPr>
              <w:t xml:space="preserve">ARAC </w:t>
            </w:r>
            <w:r w:rsidR="009D7A12">
              <w:rPr>
                <w:b/>
                <w:bCs/>
              </w:rPr>
              <w:t>Meeting</w:t>
            </w:r>
            <w:r w:rsidR="00ED671B">
              <w:rPr>
                <w:b/>
                <w:bCs/>
              </w:rPr>
              <w:t xml:space="preserve"> </w:t>
            </w:r>
            <w:r w:rsidR="00A04791">
              <w:rPr>
                <w:b/>
                <w:bCs/>
              </w:rPr>
              <w:t>1</w:t>
            </w:r>
            <w:r w:rsidR="00A36F8F">
              <w:rPr>
                <w:b/>
                <w:bCs/>
              </w:rPr>
              <w:t>2</w:t>
            </w:r>
            <w:r w:rsidR="00BB7B98">
              <w:rPr>
                <w:b/>
                <w:bCs/>
              </w:rPr>
              <w:t xml:space="preserve"> March</w:t>
            </w:r>
            <w:r w:rsidR="00A04791">
              <w:rPr>
                <w:b/>
                <w:bCs/>
              </w:rPr>
              <w:t xml:space="preserve"> 202</w:t>
            </w:r>
            <w:r w:rsidR="00A36F8F">
              <w:rPr>
                <w:b/>
                <w:bCs/>
              </w:rPr>
              <w:t>4</w:t>
            </w:r>
            <w:r w:rsidR="00A02FE6">
              <w:rPr>
                <w:b/>
                <w:bCs/>
              </w:rPr>
              <w:t xml:space="preserve"> </w:t>
            </w:r>
            <w:r w:rsidR="00987DF8">
              <w:rPr>
                <w:b/>
                <w:bCs/>
              </w:rPr>
              <w:t>Minutes</w:t>
            </w:r>
            <w:r w:rsidR="00E86231">
              <w:rPr>
                <w:rFonts w:cs="Arial"/>
                <w:b/>
                <w:bCs/>
              </w:rPr>
              <w:t xml:space="preserve"> </w:t>
            </w:r>
            <w:r w:rsidR="008A4619">
              <w:rPr>
                <w:b/>
                <w:color w:val="FF0000"/>
              </w:rPr>
              <w:t>(Approved 11</w:t>
            </w:r>
            <w:r w:rsidR="008A4619" w:rsidRPr="0047128B">
              <w:rPr>
                <w:b/>
                <w:color w:val="FF0000"/>
              </w:rPr>
              <w:t xml:space="preserve"> June 24</w:t>
            </w:r>
            <w:r w:rsidR="008A4619">
              <w:rPr>
                <w:b/>
                <w:color w:val="FF0000"/>
              </w:rPr>
              <w:t>)</w:t>
            </w:r>
          </w:p>
        </w:sdtContent>
      </w:sdt>
    </w:sdtContent>
  </w:sdt>
  <w:p w14:paraId="27222ABE" w14:textId="77777777" w:rsidR="0088655A" w:rsidRPr="0088655A" w:rsidRDefault="0088655A">
    <w:pPr>
      <w:pStyle w:val="Footer"/>
    </w:pPr>
  </w:p>
  <w:p w14:paraId="69DF9376" w14:textId="77777777" w:rsidR="005921FA" w:rsidRDefault="005921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5B553" w14:textId="77777777" w:rsidR="00832A12" w:rsidRDefault="00832A12" w:rsidP="0046542E">
      <w:pPr>
        <w:spacing w:after="0" w:line="240" w:lineRule="auto"/>
      </w:pPr>
      <w:r>
        <w:separator/>
      </w:r>
    </w:p>
  </w:footnote>
  <w:footnote w:type="continuationSeparator" w:id="0">
    <w:p w14:paraId="75B4947F" w14:textId="77777777" w:rsidR="00832A12" w:rsidRDefault="00832A12" w:rsidP="0046542E">
      <w:pPr>
        <w:spacing w:after="0" w:line="240" w:lineRule="auto"/>
      </w:pPr>
      <w:r>
        <w:continuationSeparator/>
      </w:r>
    </w:p>
  </w:footnote>
  <w:footnote w:type="continuationNotice" w:id="1">
    <w:p w14:paraId="5D7D886C" w14:textId="77777777" w:rsidR="00832A12" w:rsidRDefault="00832A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76DA" w14:textId="5CF90483" w:rsidR="00987DF8" w:rsidRDefault="00987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AE92A" w14:textId="582F071B" w:rsidR="00BE045A" w:rsidRPr="00BE045A" w:rsidRDefault="00BE045A">
    <w:pPr>
      <w:pStyle w:val="Header"/>
      <w:rPr>
        <w:color w:val="0F6FC6" w:themeColor="accent1"/>
        <w:sz w:val="16"/>
        <w:szCs w:val="16"/>
      </w:rPr>
    </w:pPr>
    <w:r w:rsidRPr="00BE045A">
      <w:rPr>
        <w:noProof/>
        <w:color w:val="0F6FC6" w:themeColor="accent1"/>
        <w:sz w:val="16"/>
        <w:szCs w:val="16"/>
        <w:lang w:eastAsia="en-GB"/>
      </w:rPr>
      <mc:AlternateContent>
        <mc:Choice Requires="wps">
          <w:drawing>
            <wp:anchor distT="0" distB="0" distL="118745" distR="118745" simplePos="0" relativeHeight="251658240" behindDoc="1" locked="0" layoutInCell="1" allowOverlap="0" wp14:anchorId="766AFA6B" wp14:editId="0115D994">
              <wp:simplePos x="0" y="0"/>
              <wp:positionH relativeFrom="margin">
                <wp:align>right</wp:align>
              </wp:positionH>
              <wp:positionV relativeFrom="page">
                <wp:posOffset>290498</wp:posOffset>
              </wp:positionV>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olor w:val="0B5294" w:themeColor="accent1" w:themeShade="BF"/>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p w14:paraId="5CD7F7AD" w14:textId="56E8AEA7" w:rsidR="00BE045A" w:rsidRPr="00094EC0" w:rsidRDefault="0040557D">
                              <w:pPr>
                                <w:pStyle w:val="Header"/>
                                <w:jc w:val="center"/>
                                <w:rPr>
                                  <w:color w:val="0075A2" w:themeColor="accent2" w:themeShade="BF"/>
                                </w:rPr>
                              </w:pPr>
                              <w:r>
                                <w:rPr>
                                  <w:b/>
                                  <w:color w:val="0B5294" w:themeColor="accent1" w:themeShade="BF"/>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66AFA6B" id="Rectangle 197" o:spid="_x0000_s1026" style="position:absolute;margin-left:417.3pt;margin-top:22.85pt;width:468.5pt;height:21.3pt;z-index:-251658240;visibility:visible;mso-wrap-style:square;mso-width-percent:1000;mso-height-percent:27;mso-wrap-distance-left:9.35pt;mso-wrap-distance-top:0;mso-wrap-distance-right:9.35pt;mso-wrap-distance-bottom:0;mso-position-horizontal:right;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" o:allowoverlap="f" filled="f" stroked="f" strokeweight="1pt">
              <v:textbox style="mso-fit-shape-to-text:t">
                <w:txbxContent>
                  <w:sdt>
                    <w:sdtPr>
                      <w:rPr>
                        <w:b/>
                        <w:color w:val="0B5294" w:themeColor="accent1" w:themeShade="BF"/>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5CD7F7AD" w14:textId="56E8AEA7" w:rsidR="00BE045A" w:rsidRPr="00094EC0" w:rsidRDefault="0040557D">
                        <w:pPr>
                          <w:pStyle w:val="Header"/>
                          <w:jc w:val="center"/>
                          <w:rPr>
                            <w:color w:val="0075A2" w:themeColor="accent2" w:themeShade="BF"/>
                          </w:rPr>
                        </w:pPr>
                        <w:r>
                          <w:rPr>
                            <w:b/>
                            <w:color w:val="0B5294" w:themeColor="accent1" w:themeShade="BF"/>
                          </w:rPr>
                          <w:t xml:space="preserve">     </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A2F88" w14:textId="1DA84F5A" w:rsidR="00987DF8" w:rsidRDefault="00987D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E94"/>
    <w:multiLevelType w:val="hybridMultilevel"/>
    <w:tmpl w:val="0D968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E6D84"/>
    <w:multiLevelType w:val="hybridMultilevel"/>
    <w:tmpl w:val="7EC6D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F457F"/>
    <w:multiLevelType w:val="hybridMultilevel"/>
    <w:tmpl w:val="6A5CA8EA"/>
    <w:lvl w:ilvl="0" w:tplc="4C3AA74A">
      <w:start w:val="1"/>
      <w:numFmt w:val="lowerLetter"/>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471C68"/>
    <w:multiLevelType w:val="hybridMultilevel"/>
    <w:tmpl w:val="F52093C6"/>
    <w:lvl w:ilvl="0" w:tplc="B3E874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905AC"/>
    <w:multiLevelType w:val="hybridMultilevel"/>
    <w:tmpl w:val="7C8EEFCA"/>
    <w:lvl w:ilvl="0" w:tplc="36082BB0">
      <w:start w:val="1"/>
      <w:numFmt w:val="lowerLetter"/>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A2128"/>
    <w:multiLevelType w:val="hybridMultilevel"/>
    <w:tmpl w:val="B638FC36"/>
    <w:lvl w:ilvl="0" w:tplc="8B76CC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E01477"/>
    <w:multiLevelType w:val="hybridMultilevel"/>
    <w:tmpl w:val="9132A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71179"/>
    <w:multiLevelType w:val="hybridMultilevel"/>
    <w:tmpl w:val="27960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B6BDE"/>
    <w:multiLevelType w:val="hybridMultilevel"/>
    <w:tmpl w:val="02EED464"/>
    <w:lvl w:ilvl="0" w:tplc="61B827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C61055"/>
    <w:multiLevelType w:val="hybridMultilevel"/>
    <w:tmpl w:val="BF00D89C"/>
    <w:lvl w:ilvl="0" w:tplc="8730D55A">
      <w:start w:val="1"/>
      <w:numFmt w:val="lowerLetter"/>
      <w:lvlText w:val="(%1)"/>
      <w:lvlJc w:val="left"/>
      <w:pPr>
        <w:ind w:left="720" w:hanging="360"/>
      </w:pPr>
      <w:rPr>
        <w:rFonts w:ascii="Calibri" w:eastAsia="Times New Roman" w:hAnsi="Calibr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B36A69"/>
    <w:multiLevelType w:val="hybridMultilevel"/>
    <w:tmpl w:val="A584245C"/>
    <w:lvl w:ilvl="0" w:tplc="DEACF0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3E3B50"/>
    <w:multiLevelType w:val="hybridMultilevel"/>
    <w:tmpl w:val="D86AE718"/>
    <w:lvl w:ilvl="0" w:tplc="E536E9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541B7A"/>
    <w:multiLevelType w:val="hybridMultilevel"/>
    <w:tmpl w:val="9D5EB12E"/>
    <w:lvl w:ilvl="0" w:tplc="B142B0DC">
      <w:numFmt w:val="bullet"/>
      <w:lvlText w:val="-"/>
      <w:lvlJc w:val="left"/>
      <w:pPr>
        <w:ind w:left="460" w:hanging="360"/>
      </w:pPr>
      <w:rPr>
        <w:rFonts w:ascii="Calibri" w:eastAsia="Calibri" w:hAnsi="Calibri" w:cs="Calibri"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2028606A"/>
    <w:multiLevelType w:val="hybridMultilevel"/>
    <w:tmpl w:val="F0FEFD58"/>
    <w:lvl w:ilvl="0" w:tplc="BCA0C1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A953B1"/>
    <w:multiLevelType w:val="hybridMultilevel"/>
    <w:tmpl w:val="FA6C8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C7618A"/>
    <w:multiLevelType w:val="hybridMultilevel"/>
    <w:tmpl w:val="AE72D0B2"/>
    <w:lvl w:ilvl="0" w:tplc="D74E73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377A88"/>
    <w:multiLevelType w:val="hybridMultilevel"/>
    <w:tmpl w:val="AD5E8D38"/>
    <w:lvl w:ilvl="0" w:tplc="E1948F86">
      <w:start w:val="1"/>
      <w:numFmt w:val="lowerLetter"/>
      <w:lvlText w:val="(%1)"/>
      <w:lvlJc w:val="left"/>
      <w:pPr>
        <w:ind w:left="720" w:hanging="360"/>
      </w:pPr>
      <w:rPr>
        <w:rFonts w:ascii="Calibri" w:hAnsi="Calibri"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D11679"/>
    <w:multiLevelType w:val="hybridMultilevel"/>
    <w:tmpl w:val="7C10FC1E"/>
    <w:lvl w:ilvl="0" w:tplc="E77412E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4096F60"/>
    <w:multiLevelType w:val="hybridMultilevel"/>
    <w:tmpl w:val="2CA4E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A2538"/>
    <w:multiLevelType w:val="hybridMultilevel"/>
    <w:tmpl w:val="879AA032"/>
    <w:lvl w:ilvl="0" w:tplc="E0CEC9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017570"/>
    <w:multiLevelType w:val="hybridMultilevel"/>
    <w:tmpl w:val="55480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4C4558"/>
    <w:multiLevelType w:val="hybridMultilevel"/>
    <w:tmpl w:val="66AEB95C"/>
    <w:lvl w:ilvl="0" w:tplc="F034AD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C7962"/>
    <w:multiLevelType w:val="hybridMultilevel"/>
    <w:tmpl w:val="04E8B9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0F0E76"/>
    <w:multiLevelType w:val="multilevel"/>
    <w:tmpl w:val="0588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271E17"/>
    <w:multiLevelType w:val="hybridMultilevel"/>
    <w:tmpl w:val="7038ACF6"/>
    <w:lvl w:ilvl="0" w:tplc="8EE8C9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EA34DB"/>
    <w:multiLevelType w:val="hybridMultilevel"/>
    <w:tmpl w:val="CF0CB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095768"/>
    <w:multiLevelType w:val="hybridMultilevel"/>
    <w:tmpl w:val="94FC11D2"/>
    <w:lvl w:ilvl="0" w:tplc="5B4C07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EF5D23"/>
    <w:multiLevelType w:val="hybridMultilevel"/>
    <w:tmpl w:val="7CDA45D0"/>
    <w:lvl w:ilvl="0" w:tplc="81E481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150A8B"/>
    <w:multiLevelType w:val="hybridMultilevel"/>
    <w:tmpl w:val="33DCD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4A5D24"/>
    <w:multiLevelType w:val="hybridMultilevel"/>
    <w:tmpl w:val="9DBCA8BE"/>
    <w:lvl w:ilvl="0" w:tplc="DA9AEF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516F6E"/>
    <w:multiLevelType w:val="multilevel"/>
    <w:tmpl w:val="5134C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6C3504"/>
    <w:multiLevelType w:val="hybridMultilevel"/>
    <w:tmpl w:val="7CB6BA26"/>
    <w:lvl w:ilvl="0" w:tplc="A8D6B042">
      <w:start w:val="1"/>
      <w:numFmt w:val="lowerLetter"/>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3D0570"/>
    <w:multiLevelType w:val="hybridMultilevel"/>
    <w:tmpl w:val="4E30F1C8"/>
    <w:lvl w:ilvl="0" w:tplc="A9AE0F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C85906"/>
    <w:multiLevelType w:val="multilevel"/>
    <w:tmpl w:val="0D945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543254"/>
    <w:multiLevelType w:val="hybridMultilevel"/>
    <w:tmpl w:val="6C30E99C"/>
    <w:lvl w:ilvl="0" w:tplc="F1DC4E0A">
      <w:start w:val="1"/>
      <w:numFmt w:val="lowerLetter"/>
      <w:lvlText w:val="(%1)"/>
      <w:lvlJc w:val="left"/>
      <w:pPr>
        <w:ind w:left="1080" w:hanging="360"/>
      </w:pPr>
      <w:rPr>
        <w:rFonts w:ascii="Calibri" w:hAnsi="Calibri"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5470EB3"/>
    <w:multiLevelType w:val="hybridMultilevel"/>
    <w:tmpl w:val="48F8B260"/>
    <w:lvl w:ilvl="0" w:tplc="E21CE540">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631C6E"/>
    <w:multiLevelType w:val="hybridMultilevel"/>
    <w:tmpl w:val="0CEC02B2"/>
    <w:lvl w:ilvl="0" w:tplc="EA76315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B017CF"/>
    <w:multiLevelType w:val="hybridMultilevel"/>
    <w:tmpl w:val="C99277AE"/>
    <w:lvl w:ilvl="0" w:tplc="47D655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4413A1"/>
    <w:multiLevelType w:val="hybridMultilevel"/>
    <w:tmpl w:val="59521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342F73"/>
    <w:multiLevelType w:val="hybridMultilevel"/>
    <w:tmpl w:val="1BD05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1250B8"/>
    <w:multiLevelType w:val="hybridMultilevel"/>
    <w:tmpl w:val="BC1ABF88"/>
    <w:lvl w:ilvl="0" w:tplc="A0648632">
      <w:start w:val="1"/>
      <w:numFmt w:val="lowerLetter"/>
      <w:lvlText w:val="(%1)"/>
      <w:lvlJc w:val="left"/>
      <w:pPr>
        <w:ind w:left="720" w:hanging="360"/>
      </w:pPr>
      <w:rPr>
        <w:rFonts w:ascii="Calibri" w:hAnsi="Calibri" w:cs="Times New Roman"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A34076"/>
    <w:multiLevelType w:val="hybridMultilevel"/>
    <w:tmpl w:val="4DE6D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040768"/>
    <w:multiLevelType w:val="hybridMultilevel"/>
    <w:tmpl w:val="C6EE1EDA"/>
    <w:lvl w:ilvl="0" w:tplc="08090001">
      <w:start w:val="1"/>
      <w:numFmt w:val="bullet"/>
      <w:lvlText w:val=""/>
      <w:lvlJc w:val="left"/>
      <w:pPr>
        <w:ind w:left="720" w:hanging="360"/>
      </w:pPr>
      <w:rPr>
        <w:rFonts w:ascii="Symbol" w:hAnsi="Symbol" w:hint="default"/>
      </w:rPr>
    </w:lvl>
    <w:lvl w:ilvl="1" w:tplc="9196BDD6">
      <w:start w:val="1"/>
      <w:numFmt w:val="lowerRoman"/>
      <w:lvlText w:val="%2)"/>
      <w:lvlJc w:val="left"/>
      <w:pPr>
        <w:ind w:left="1069"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BA67029"/>
    <w:multiLevelType w:val="hybridMultilevel"/>
    <w:tmpl w:val="8488C574"/>
    <w:lvl w:ilvl="0" w:tplc="216C93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510622"/>
    <w:multiLevelType w:val="hybridMultilevel"/>
    <w:tmpl w:val="2076B404"/>
    <w:lvl w:ilvl="0" w:tplc="48B813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875569"/>
    <w:multiLevelType w:val="hybridMultilevel"/>
    <w:tmpl w:val="75CC7B36"/>
    <w:lvl w:ilvl="0" w:tplc="774E7E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2704298">
    <w:abstractNumId w:val="9"/>
  </w:num>
  <w:num w:numId="2" w16cid:durableId="452940341">
    <w:abstractNumId w:val="16"/>
  </w:num>
  <w:num w:numId="3" w16cid:durableId="1468620072">
    <w:abstractNumId w:val="40"/>
  </w:num>
  <w:num w:numId="4" w16cid:durableId="1897467769">
    <w:abstractNumId w:val="4"/>
  </w:num>
  <w:num w:numId="5" w16cid:durableId="515118257">
    <w:abstractNumId w:val="24"/>
  </w:num>
  <w:num w:numId="6" w16cid:durableId="1271933969">
    <w:abstractNumId w:val="42"/>
    <w:lvlOverride w:ilvl="0"/>
    <w:lvlOverride w:ilvl="1">
      <w:startOverride w:val="1"/>
    </w:lvlOverride>
    <w:lvlOverride w:ilvl="2"/>
    <w:lvlOverride w:ilvl="3"/>
    <w:lvlOverride w:ilvl="4"/>
    <w:lvlOverride w:ilvl="5"/>
    <w:lvlOverride w:ilvl="6"/>
    <w:lvlOverride w:ilvl="7"/>
    <w:lvlOverride w:ilvl="8"/>
  </w:num>
  <w:num w:numId="7" w16cid:durableId="1107962568">
    <w:abstractNumId w:val="15"/>
  </w:num>
  <w:num w:numId="8" w16cid:durableId="538738361">
    <w:abstractNumId w:val="45"/>
  </w:num>
  <w:num w:numId="9" w16cid:durableId="383453345">
    <w:abstractNumId w:val="34"/>
  </w:num>
  <w:num w:numId="10" w16cid:durableId="1567495954">
    <w:abstractNumId w:val="22"/>
  </w:num>
  <w:num w:numId="11" w16cid:durableId="1215578497">
    <w:abstractNumId w:val="12"/>
  </w:num>
  <w:num w:numId="12" w16cid:durableId="1152984588">
    <w:abstractNumId w:val="19"/>
  </w:num>
  <w:num w:numId="13" w16cid:durableId="2022781975">
    <w:abstractNumId w:val="14"/>
  </w:num>
  <w:num w:numId="14" w16cid:durableId="294139262">
    <w:abstractNumId w:val="35"/>
  </w:num>
  <w:num w:numId="15" w16cid:durableId="1624849262">
    <w:abstractNumId w:val="3"/>
  </w:num>
  <w:num w:numId="16" w16cid:durableId="1909802417">
    <w:abstractNumId w:val="6"/>
  </w:num>
  <w:num w:numId="17" w16cid:durableId="1334449394">
    <w:abstractNumId w:val="5"/>
  </w:num>
  <w:num w:numId="18" w16cid:durableId="1216046902">
    <w:abstractNumId w:val="10"/>
  </w:num>
  <w:num w:numId="19" w16cid:durableId="360014984">
    <w:abstractNumId w:val="28"/>
  </w:num>
  <w:num w:numId="20" w16cid:durableId="1505894578">
    <w:abstractNumId w:val="38"/>
  </w:num>
  <w:num w:numId="21" w16cid:durableId="510486820">
    <w:abstractNumId w:val="0"/>
  </w:num>
  <w:num w:numId="22" w16cid:durableId="1866364546">
    <w:abstractNumId w:val="11"/>
  </w:num>
  <w:num w:numId="23" w16cid:durableId="712920503">
    <w:abstractNumId w:val="13"/>
  </w:num>
  <w:num w:numId="24" w16cid:durableId="1397314626">
    <w:abstractNumId w:val="26"/>
  </w:num>
  <w:num w:numId="25" w16cid:durableId="7034824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01232118">
    <w:abstractNumId w:val="43"/>
  </w:num>
  <w:num w:numId="27" w16cid:durableId="1807821155">
    <w:abstractNumId w:val="44"/>
  </w:num>
  <w:num w:numId="28" w16cid:durableId="958488590">
    <w:abstractNumId w:val="41"/>
  </w:num>
  <w:num w:numId="29" w16cid:durableId="2110391785">
    <w:abstractNumId w:val="30"/>
  </w:num>
  <w:num w:numId="30" w16cid:durableId="1864588527">
    <w:abstractNumId w:val="7"/>
  </w:num>
  <w:num w:numId="31" w16cid:durableId="1581520216">
    <w:abstractNumId w:val="29"/>
  </w:num>
  <w:num w:numId="32" w16cid:durableId="1378429353">
    <w:abstractNumId w:val="31"/>
  </w:num>
  <w:num w:numId="33" w16cid:durableId="286199077">
    <w:abstractNumId w:val="36"/>
  </w:num>
  <w:num w:numId="34" w16cid:durableId="1812601485">
    <w:abstractNumId w:val="27"/>
  </w:num>
  <w:num w:numId="35" w16cid:durableId="1433166429">
    <w:abstractNumId w:val="33"/>
  </w:num>
  <w:num w:numId="36" w16cid:durableId="1812362176">
    <w:abstractNumId w:val="23"/>
  </w:num>
  <w:num w:numId="37" w16cid:durableId="1146388384">
    <w:abstractNumId w:val="21"/>
  </w:num>
  <w:num w:numId="38" w16cid:durableId="444888796">
    <w:abstractNumId w:val="37"/>
  </w:num>
  <w:num w:numId="39" w16cid:durableId="458956769">
    <w:abstractNumId w:val="2"/>
  </w:num>
  <w:num w:numId="40" w16cid:durableId="1528367365">
    <w:abstractNumId w:val="20"/>
  </w:num>
  <w:num w:numId="41" w16cid:durableId="1614746505">
    <w:abstractNumId w:val="8"/>
  </w:num>
  <w:num w:numId="42" w16cid:durableId="1326782163">
    <w:abstractNumId w:val="32"/>
  </w:num>
  <w:num w:numId="43" w16cid:durableId="1338145730">
    <w:abstractNumId w:val="1"/>
  </w:num>
  <w:num w:numId="44" w16cid:durableId="1809516231">
    <w:abstractNumId w:val="18"/>
  </w:num>
  <w:num w:numId="45" w16cid:durableId="2125692348">
    <w:abstractNumId w:val="39"/>
  </w:num>
  <w:num w:numId="46" w16cid:durableId="566496254">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42E"/>
    <w:rsid w:val="00002367"/>
    <w:rsid w:val="0000444C"/>
    <w:rsid w:val="0000491A"/>
    <w:rsid w:val="000111A1"/>
    <w:rsid w:val="00014A56"/>
    <w:rsid w:val="000164E5"/>
    <w:rsid w:val="0004125A"/>
    <w:rsid w:val="0004274A"/>
    <w:rsid w:val="000455B5"/>
    <w:rsid w:val="00045B8D"/>
    <w:rsid w:val="00047963"/>
    <w:rsid w:val="00047CB8"/>
    <w:rsid w:val="00050517"/>
    <w:rsid w:val="000536A1"/>
    <w:rsid w:val="000670BC"/>
    <w:rsid w:val="00070459"/>
    <w:rsid w:val="00071824"/>
    <w:rsid w:val="000777F1"/>
    <w:rsid w:val="00083EFE"/>
    <w:rsid w:val="00084C44"/>
    <w:rsid w:val="00084D22"/>
    <w:rsid w:val="00084F8C"/>
    <w:rsid w:val="00094EC0"/>
    <w:rsid w:val="0009709A"/>
    <w:rsid w:val="00097F1F"/>
    <w:rsid w:val="000A42D2"/>
    <w:rsid w:val="000A5BBF"/>
    <w:rsid w:val="000A5BE3"/>
    <w:rsid w:val="000A5F37"/>
    <w:rsid w:val="000A6D26"/>
    <w:rsid w:val="000A784B"/>
    <w:rsid w:val="000B2132"/>
    <w:rsid w:val="000B2F2C"/>
    <w:rsid w:val="000B78DC"/>
    <w:rsid w:val="000C150A"/>
    <w:rsid w:val="000C3308"/>
    <w:rsid w:val="000C40F8"/>
    <w:rsid w:val="000C4B3C"/>
    <w:rsid w:val="000C5849"/>
    <w:rsid w:val="000D14C1"/>
    <w:rsid w:val="000D6803"/>
    <w:rsid w:val="000E67AF"/>
    <w:rsid w:val="000F284E"/>
    <w:rsid w:val="000F2FFC"/>
    <w:rsid w:val="00105675"/>
    <w:rsid w:val="001075A2"/>
    <w:rsid w:val="00121C01"/>
    <w:rsid w:val="00121CC7"/>
    <w:rsid w:val="00122879"/>
    <w:rsid w:val="00124151"/>
    <w:rsid w:val="00126179"/>
    <w:rsid w:val="001273DA"/>
    <w:rsid w:val="001327CB"/>
    <w:rsid w:val="00132EAB"/>
    <w:rsid w:val="00133FBC"/>
    <w:rsid w:val="001352F1"/>
    <w:rsid w:val="001354B0"/>
    <w:rsid w:val="001356E1"/>
    <w:rsid w:val="001358D2"/>
    <w:rsid w:val="0014659A"/>
    <w:rsid w:val="001517E5"/>
    <w:rsid w:val="00155A5A"/>
    <w:rsid w:val="00155E54"/>
    <w:rsid w:val="00161DF1"/>
    <w:rsid w:val="0016593A"/>
    <w:rsid w:val="00165AA7"/>
    <w:rsid w:val="00171080"/>
    <w:rsid w:val="00174968"/>
    <w:rsid w:val="00175DEC"/>
    <w:rsid w:val="001776AE"/>
    <w:rsid w:val="00180BC3"/>
    <w:rsid w:val="001846B1"/>
    <w:rsid w:val="00184EAF"/>
    <w:rsid w:val="001850F2"/>
    <w:rsid w:val="00185FBF"/>
    <w:rsid w:val="001867EF"/>
    <w:rsid w:val="00191712"/>
    <w:rsid w:val="00191D5C"/>
    <w:rsid w:val="001923AF"/>
    <w:rsid w:val="00193FAA"/>
    <w:rsid w:val="00196F20"/>
    <w:rsid w:val="001A43DF"/>
    <w:rsid w:val="001A472A"/>
    <w:rsid w:val="001A6D93"/>
    <w:rsid w:val="001B4530"/>
    <w:rsid w:val="001B5B0F"/>
    <w:rsid w:val="001C088A"/>
    <w:rsid w:val="001D0457"/>
    <w:rsid w:val="001D1CC5"/>
    <w:rsid w:val="001D4462"/>
    <w:rsid w:val="001F099F"/>
    <w:rsid w:val="001F3494"/>
    <w:rsid w:val="001F3D30"/>
    <w:rsid w:val="001F7FF3"/>
    <w:rsid w:val="00206194"/>
    <w:rsid w:val="002100A5"/>
    <w:rsid w:val="00211876"/>
    <w:rsid w:val="00215747"/>
    <w:rsid w:val="00222F3B"/>
    <w:rsid w:val="002310AB"/>
    <w:rsid w:val="00231BB5"/>
    <w:rsid w:val="002345A6"/>
    <w:rsid w:val="00235684"/>
    <w:rsid w:val="002361FE"/>
    <w:rsid w:val="00236FCD"/>
    <w:rsid w:val="002436D7"/>
    <w:rsid w:val="002445E8"/>
    <w:rsid w:val="0025081A"/>
    <w:rsid w:val="0025587F"/>
    <w:rsid w:val="0026619A"/>
    <w:rsid w:val="00266E2F"/>
    <w:rsid w:val="00266F67"/>
    <w:rsid w:val="00270583"/>
    <w:rsid w:val="002757F8"/>
    <w:rsid w:val="002771BA"/>
    <w:rsid w:val="00287969"/>
    <w:rsid w:val="00290444"/>
    <w:rsid w:val="00293110"/>
    <w:rsid w:val="0029635C"/>
    <w:rsid w:val="002A10B6"/>
    <w:rsid w:val="002A2083"/>
    <w:rsid w:val="002A2686"/>
    <w:rsid w:val="002A7E46"/>
    <w:rsid w:val="002B02BA"/>
    <w:rsid w:val="002B1A27"/>
    <w:rsid w:val="002B20BF"/>
    <w:rsid w:val="002B2366"/>
    <w:rsid w:val="002B547B"/>
    <w:rsid w:val="002C1B98"/>
    <w:rsid w:val="002C2EF6"/>
    <w:rsid w:val="002C3161"/>
    <w:rsid w:val="002C478D"/>
    <w:rsid w:val="002C5B90"/>
    <w:rsid w:val="002C6786"/>
    <w:rsid w:val="002D383E"/>
    <w:rsid w:val="002D4487"/>
    <w:rsid w:val="002D61E8"/>
    <w:rsid w:val="002E29AA"/>
    <w:rsid w:val="002E3F2B"/>
    <w:rsid w:val="002E7B48"/>
    <w:rsid w:val="002F2B42"/>
    <w:rsid w:val="002F3FE5"/>
    <w:rsid w:val="0030619A"/>
    <w:rsid w:val="00307EBC"/>
    <w:rsid w:val="00310E0F"/>
    <w:rsid w:val="00316361"/>
    <w:rsid w:val="003239B7"/>
    <w:rsid w:val="00324D37"/>
    <w:rsid w:val="00330C2C"/>
    <w:rsid w:val="00333BD8"/>
    <w:rsid w:val="00334EF9"/>
    <w:rsid w:val="003355D7"/>
    <w:rsid w:val="003376B6"/>
    <w:rsid w:val="003412DC"/>
    <w:rsid w:val="003457B8"/>
    <w:rsid w:val="00350B92"/>
    <w:rsid w:val="00351B8A"/>
    <w:rsid w:val="0035374C"/>
    <w:rsid w:val="00355A38"/>
    <w:rsid w:val="0036375C"/>
    <w:rsid w:val="00372B91"/>
    <w:rsid w:val="00377EFE"/>
    <w:rsid w:val="00382262"/>
    <w:rsid w:val="00385C07"/>
    <w:rsid w:val="00386B94"/>
    <w:rsid w:val="0039360F"/>
    <w:rsid w:val="00394D74"/>
    <w:rsid w:val="00394FB8"/>
    <w:rsid w:val="003962C3"/>
    <w:rsid w:val="003975B2"/>
    <w:rsid w:val="003A3799"/>
    <w:rsid w:val="003A604F"/>
    <w:rsid w:val="003B271F"/>
    <w:rsid w:val="003B380A"/>
    <w:rsid w:val="003B6C98"/>
    <w:rsid w:val="003C0691"/>
    <w:rsid w:val="003C0A18"/>
    <w:rsid w:val="003C42C3"/>
    <w:rsid w:val="003C50F5"/>
    <w:rsid w:val="003D1772"/>
    <w:rsid w:val="003D18EF"/>
    <w:rsid w:val="003D1E6A"/>
    <w:rsid w:val="003D38CF"/>
    <w:rsid w:val="003D4FB9"/>
    <w:rsid w:val="003D5A01"/>
    <w:rsid w:val="003E3473"/>
    <w:rsid w:val="003E433D"/>
    <w:rsid w:val="003E5EA6"/>
    <w:rsid w:val="003E7CC4"/>
    <w:rsid w:val="003F231B"/>
    <w:rsid w:val="003F2820"/>
    <w:rsid w:val="003F58D8"/>
    <w:rsid w:val="003F68B8"/>
    <w:rsid w:val="00400D48"/>
    <w:rsid w:val="0040557D"/>
    <w:rsid w:val="0041093E"/>
    <w:rsid w:val="00410DBD"/>
    <w:rsid w:val="004176A3"/>
    <w:rsid w:val="0042118F"/>
    <w:rsid w:val="00426313"/>
    <w:rsid w:val="0043285C"/>
    <w:rsid w:val="00441894"/>
    <w:rsid w:val="00445917"/>
    <w:rsid w:val="00447B63"/>
    <w:rsid w:val="00454CD9"/>
    <w:rsid w:val="00463DAF"/>
    <w:rsid w:val="004646C5"/>
    <w:rsid w:val="004651BA"/>
    <w:rsid w:val="0046542E"/>
    <w:rsid w:val="004668A4"/>
    <w:rsid w:val="0047128B"/>
    <w:rsid w:val="00471B26"/>
    <w:rsid w:val="00474355"/>
    <w:rsid w:val="0047523F"/>
    <w:rsid w:val="00477279"/>
    <w:rsid w:val="00480B90"/>
    <w:rsid w:val="00482FC6"/>
    <w:rsid w:val="00484A6F"/>
    <w:rsid w:val="00485A8D"/>
    <w:rsid w:val="004877A6"/>
    <w:rsid w:val="0049280C"/>
    <w:rsid w:val="004A6F23"/>
    <w:rsid w:val="004B0AFC"/>
    <w:rsid w:val="004B2FA3"/>
    <w:rsid w:val="004B3DA7"/>
    <w:rsid w:val="004B57E8"/>
    <w:rsid w:val="004B7B23"/>
    <w:rsid w:val="004C01FB"/>
    <w:rsid w:val="004C07DC"/>
    <w:rsid w:val="004C2D77"/>
    <w:rsid w:val="004C7A9E"/>
    <w:rsid w:val="004D0167"/>
    <w:rsid w:val="004D066C"/>
    <w:rsid w:val="004D176A"/>
    <w:rsid w:val="004D2C21"/>
    <w:rsid w:val="004D5445"/>
    <w:rsid w:val="004E189C"/>
    <w:rsid w:val="004E3EEB"/>
    <w:rsid w:val="004F56F4"/>
    <w:rsid w:val="004F66E4"/>
    <w:rsid w:val="0050075F"/>
    <w:rsid w:val="00503F95"/>
    <w:rsid w:val="0050427F"/>
    <w:rsid w:val="00504AE6"/>
    <w:rsid w:val="00511497"/>
    <w:rsid w:val="00514184"/>
    <w:rsid w:val="0052324C"/>
    <w:rsid w:val="00524E64"/>
    <w:rsid w:val="00524FED"/>
    <w:rsid w:val="00531C25"/>
    <w:rsid w:val="00541CD7"/>
    <w:rsid w:val="00543B6F"/>
    <w:rsid w:val="0054457B"/>
    <w:rsid w:val="00553958"/>
    <w:rsid w:val="00556463"/>
    <w:rsid w:val="005619D9"/>
    <w:rsid w:val="00565C7A"/>
    <w:rsid w:val="00571DBF"/>
    <w:rsid w:val="00573B9E"/>
    <w:rsid w:val="00574CD8"/>
    <w:rsid w:val="00574FBE"/>
    <w:rsid w:val="00575C40"/>
    <w:rsid w:val="00582E37"/>
    <w:rsid w:val="00582FAC"/>
    <w:rsid w:val="00585518"/>
    <w:rsid w:val="005921FA"/>
    <w:rsid w:val="00592FA0"/>
    <w:rsid w:val="005A1A3A"/>
    <w:rsid w:val="005A25C6"/>
    <w:rsid w:val="005A474E"/>
    <w:rsid w:val="005A6BCF"/>
    <w:rsid w:val="005A7E25"/>
    <w:rsid w:val="005B55A8"/>
    <w:rsid w:val="005B7778"/>
    <w:rsid w:val="005C5057"/>
    <w:rsid w:val="005C5332"/>
    <w:rsid w:val="005D1E5D"/>
    <w:rsid w:val="005D557F"/>
    <w:rsid w:val="005D7E83"/>
    <w:rsid w:val="005E0844"/>
    <w:rsid w:val="005E37CC"/>
    <w:rsid w:val="005E4DBF"/>
    <w:rsid w:val="005F4F49"/>
    <w:rsid w:val="005F7022"/>
    <w:rsid w:val="00603EC7"/>
    <w:rsid w:val="00605434"/>
    <w:rsid w:val="006068A9"/>
    <w:rsid w:val="00607C6A"/>
    <w:rsid w:val="00610262"/>
    <w:rsid w:val="00611357"/>
    <w:rsid w:val="00613836"/>
    <w:rsid w:val="0061642A"/>
    <w:rsid w:val="00616FE7"/>
    <w:rsid w:val="00620E17"/>
    <w:rsid w:val="0062261A"/>
    <w:rsid w:val="0062262A"/>
    <w:rsid w:val="00626F5B"/>
    <w:rsid w:val="00631963"/>
    <w:rsid w:val="00642958"/>
    <w:rsid w:val="00643149"/>
    <w:rsid w:val="00646349"/>
    <w:rsid w:val="006554D4"/>
    <w:rsid w:val="00655D96"/>
    <w:rsid w:val="00660B60"/>
    <w:rsid w:val="0066287E"/>
    <w:rsid w:val="006650CE"/>
    <w:rsid w:val="00665BA3"/>
    <w:rsid w:val="00666774"/>
    <w:rsid w:val="006675BA"/>
    <w:rsid w:val="006715EB"/>
    <w:rsid w:val="00680BFB"/>
    <w:rsid w:val="00680DB2"/>
    <w:rsid w:val="00684299"/>
    <w:rsid w:val="00685703"/>
    <w:rsid w:val="006858B0"/>
    <w:rsid w:val="00685A8C"/>
    <w:rsid w:val="00687E03"/>
    <w:rsid w:val="006904F2"/>
    <w:rsid w:val="006960BE"/>
    <w:rsid w:val="006967D1"/>
    <w:rsid w:val="00696BE4"/>
    <w:rsid w:val="006A2730"/>
    <w:rsid w:val="006A47C7"/>
    <w:rsid w:val="006A5800"/>
    <w:rsid w:val="006A6BD2"/>
    <w:rsid w:val="006A722A"/>
    <w:rsid w:val="006B0496"/>
    <w:rsid w:val="006B537A"/>
    <w:rsid w:val="006B5E1A"/>
    <w:rsid w:val="006B608E"/>
    <w:rsid w:val="006B72B9"/>
    <w:rsid w:val="006C3AFF"/>
    <w:rsid w:val="006C45D0"/>
    <w:rsid w:val="006C78A0"/>
    <w:rsid w:val="006C7F2B"/>
    <w:rsid w:val="006D16AA"/>
    <w:rsid w:val="006D3A3F"/>
    <w:rsid w:val="006D49C5"/>
    <w:rsid w:val="006D64CD"/>
    <w:rsid w:val="006E1118"/>
    <w:rsid w:val="006E1FEE"/>
    <w:rsid w:val="006E21A9"/>
    <w:rsid w:val="006E24E3"/>
    <w:rsid w:val="006F4127"/>
    <w:rsid w:val="006F65C6"/>
    <w:rsid w:val="00703C44"/>
    <w:rsid w:val="00710998"/>
    <w:rsid w:val="007119D6"/>
    <w:rsid w:val="007157DA"/>
    <w:rsid w:val="00716C24"/>
    <w:rsid w:val="007172FC"/>
    <w:rsid w:val="007279A4"/>
    <w:rsid w:val="00731916"/>
    <w:rsid w:val="0073404F"/>
    <w:rsid w:val="00734193"/>
    <w:rsid w:val="00734FB4"/>
    <w:rsid w:val="00736C25"/>
    <w:rsid w:val="0074018C"/>
    <w:rsid w:val="0074195A"/>
    <w:rsid w:val="00741B56"/>
    <w:rsid w:val="0074366B"/>
    <w:rsid w:val="00746BDE"/>
    <w:rsid w:val="00746FB8"/>
    <w:rsid w:val="00753069"/>
    <w:rsid w:val="007538C8"/>
    <w:rsid w:val="00766971"/>
    <w:rsid w:val="00773614"/>
    <w:rsid w:val="0077635B"/>
    <w:rsid w:val="00780124"/>
    <w:rsid w:val="00781986"/>
    <w:rsid w:val="007901A5"/>
    <w:rsid w:val="0079091F"/>
    <w:rsid w:val="00792652"/>
    <w:rsid w:val="00793098"/>
    <w:rsid w:val="00797905"/>
    <w:rsid w:val="007A1CE4"/>
    <w:rsid w:val="007A389C"/>
    <w:rsid w:val="007A70B8"/>
    <w:rsid w:val="007A7A0E"/>
    <w:rsid w:val="007B135D"/>
    <w:rsid w:val="007B5F93"/>
    <w:rsid w:val="007C014D"/>
    <w:rsid w:val="007C0745"/>
    <w:rsid w:val="007C1D8C"/>
    <w:rsid w:val="007D0060"/>
    <w:rsid w:val="007D1FB9"/>
    <w:rsid w:val="007D5F26"/>
    <w:rsid w:val="007E25AE"/>
    <w:rsid w:val="007E6763"/>
    <w:rsid w:val="007F1640"/>
    <w:rsid w:val="007F30B0"/>
    <w:rsid w:val="007F343B"/>
    <w:rsid w:val="007F427B"/>
    <w:rsid w:val="007F6023"/>
    <w:rsid w:val="007F6803"/>
    <w:rsid w:val="00800D85"/>
    <w:rsid w:val="00802444"/>
    <w:rsid w:val="00802806"/>
    <w:rsid w:val="0080550B"/>
    <w:rsid w:val="00812215"/>
    <w:rsid w:val="008131A2"/>
    <w:rsid w:val="00813F0C"/>
    <w:rsid w:val="008205F9"/>
    <w:rsid w:val="008216AE"/>
    <w:rsid w:val="00822C08"/>
    <w:rsid w:val="008242A9"/>
    <w:rsid w:val="00826D9A"/>
    <w:rsid w:val="00832A12"/>
    <w:rsid w:val="008337AD"/>
    <w:rsid w:val="00835F32"/>
    <w:rsid w:val="008371EE"/>
    <w:rsid w:val="00840166"/>
    <w:rsid w:val="0084097C"/>
    <w:rsid w:val="008423E4"/>
    <w:rsid w:val="008428F0"/>
    <w:rsid w:val="00842D63"/>
    <w:rsid w:val="00843FEF"/>
    <w:rsid w:val="008467F2"/>
    <w:rsid w:val="00846D71"/>
    <w:rsid w:val="008476D1"/>
    <w:rsid w:val="0085036D"/>
    <w:rsid w:val="00850DBF"/>
    <w:rsid w:val="008514C4"/>
    <w:rsid w:val="00852AF4"/>
    <w:rsid w:val="0085352E"/>
    <w:rsid w:val="00855D98"/>
    <w:rsid w:val="00856556"/>
    <w:rsid w:val="00856A4F"/>
    <w:rsid w:val="008576B4"/>
    <w:rsid w:val="0086361A"/>
    <w:rsid w:val="00865264"/>
    <w:rsid w:val="00866684"/>
    <w:rsid w:val="00871E8A"/>
    <w:rsid w:val="00872AD8"/>
    <w:rsid w:val="00873249"/>
    <w:rsid w:val="00873596"/>
    <w:rsid w:val="00876A0C"/>
    <w:rsid w:val="00880E2C"/>
    <w:rsid w:val="00881836"/>
    <w:rsid w:val="0088655A"/>
    <w:rsid w:val="00890BF9"/>
    <w:rsid w:val="008918B0"/>
    <w:rsid w:val="0089494D"/>
    <w:rsid w:val="00895746"/>
    <w:rsid w:val="00896CEB"/>
    <w:rsid w:val="00897310"/>
    <w:rsid w:val="008A4619"/>
    <w:rsid w:val="008A567C"/>
    <w:rsid w:val="008A769D"/>
    <w:rsid w:val="008B0CCA"/>
    <w:rsid w:val="008B1A3D"/>
    <w:rsid w:val="008E268F"/>
    <w:rsid w:val="008E5F4A"/>
    <w:rsid w:val="008E6824"/>
    <w:rsid w:val="008E6E08"/>
    <w:rsid w:val="008F11CA"/>
    <w:rsid w:val="008F1A30"/>
    <w:rsid w:val="008F309A"/>
    <w:rsid w:val="008F53C0"/>
    <w:rsid w:val="008F7618"/>
    <w:rsid w:val="009015B2"/>
    <w:rsid w:val="0090225D"/>
    <w:rsid w:val="009028F9"/>
    <w:rsid w:val="00902B69"/>
    <w:rsid w:val="00904863"/>
    <w:rsid w:val="00915612"/>
    <w:rsid w:val="009169EB"/>
    <w:rsid w:val="00916F5E"/>
    <w:rsid w:val="00923EDE"/>
    <w:rsid w:val="0092719C"/>
    <w:rsid w:val="00930176"/>
    <w:rsid w:val="0093124E"/>
    <w:rsid w:val="00932958"/>
    <w:rsid w:val="0093301B"/>
    <w:rsid w:val="00937EA1"/>
    <w:rsid w:val="00954A67"/>
    <w:rsid w:val="00955341"/>
    <w:rsid w:val="00960C3A"/>
    <w:rsid w:val="00961700"/>
    <w:rsid w:val="00967EC7"/>
    <w:rsid w:val="00972006"/>
    <w:rsid w:val="00976272"/>
    <w:rsid w:val="00976573"/>
    <w:rsid w:val="009800B2"/>
    <w:rsid w:val="00985D39"/>
    <w:rsid w:val="00986AF3"/>
    <w:rsid w:val="00987DF8"/>
    <w:rsid w:val="00990870"/>
    <w:rsid w:val="0099630E"/>
    <w:rsid w:val="009A12E9"/>
    <w:rsid w:val="009A7982"/>
    <w:rsid w:val="009B0A0D"/>
    <w:rsid w:val="009B75A0"/>
    <w:rsid w:val="009B7B11"/>
    <w:rsid w:val="009C11FB"/>
    <w:rsid w:val="009C1E66"/>
    <w:rsid w:val="009C75E1"/>
    <w:rsid w:val="009D0560"/>
    <w:rsid w:val="009D2494"/>
    <w:rsid w:val="009D2FDB"/>
    <w:rsid w:val="009D627C"/>
    <w:rsid w:val="009D7A12"/>
    <w:rsid w:val="009E0B74"/>
    <w:rsid w:val="009E481D"/>
    <w:rsid w:val="009E4A66"/>
    <w:rsid w:val="009F0233"/>
    <w:rsid w:val="009F0E0C"/>
    <w:rsid w:val="009F1A8C"/>
    <w:rsid w:val="009F63B1"/>
    <w:rsid w:val="009F797B"/>
    <w:rsid w:val="00A02FE6"/>
    <w:rsid w:val="00A03039"/>
    <w:rsid w:val="00A03F1D"/>
    <w:rsid w:val="00A04791"/>
    <w:rsid w:val="00A0759B"/>
    <w:rsid w:val="00A07847"/>
    <w:rsid w:val="00A10969"/>
    <w:rsid w:val="00A10E09"/>
    <w:rsid w:val="00A13BCF"/>
    <w:rsid w:val="00A20C87"/>
    <w:rsid w:val="00A25353"/>
    <w:rsid w:val="00A25992"/>
    <w:rsid w:val="00A30357"/>
    <w:rsid w:val="00A30D1E"/>
    <w:rsid w:val="00A31810"/>
    <w:rsid w:val="00A32440"/>
    <w:rsid w:val="00A360C1"/>
    <w:rsid w:val="00A36F8F"/>
    <w:rsid w:val="00A40123"/>
    <w:rsid w:val="00A41D67"/>
    <w:rsid w:val="00A4315B"/>
    <w:rsid w:val="00A43F70"/>
    <w:rsid w:val="00A44ABC"/>
    <w:rsid w:val="00A47397"/>
    <w:rsid w:val="00A50814"/>
    <w:rsid w:val="00A50B78"/>
    <w:rsid w:val="00A526BE"/>
    <w:rsid w:val="00A552B6"/>
    <w:rsid w:val="00A619A2"/>
    <w:rsid w:val="00A6677B"/>
    <w:rsid w:val="00A72C0F"/>
    <w:rsid w:val="00A73C01"/>
    <w:rsid w:val="00A73D9E"/>
    <w:rsid w:val="00A77A4A"/>
    <w:rsid w:val="00A830F7"/>
    <w:rsid w:val="00A84D60"/>
    <w:rsid w:val="00A86B5E"/>
    <w:rsid w:val="00A902B6"/>
    <w:rsid w:val="00A91532"/>
    <w:rsid w:val="00A96D42"/>
    <w:rsid w:val="00A97395"/>
    <w:rsid w:val="00AA0968"/>
    <w:rsid w:val="00AA0B87"/>
    <w:rsid w:val="00AA618D"/>
    <w:rsid w:val="00AA61A8"/>
    <w:rsid w:val="00AA7D61"/>
    <w:rsid w:val="00AA7E3C"/>
    <w:rsid w:val="00AB487C"/>
    <w:rsid w:val="00AC01C6"/>
    <w:rsid w:val="00AC15F4"/>
    <w:rsid w:val="00AC42F2"/>
    <w:rsid w:val="00AD0AFD"/>
    <w:rsid w:val="00AD2869"/>
    <w:rsid w:val="00AD307B"/>
    <w:rsid w:val="00AD46B8"/>
    <w:rsid w:val="00AD5BD4"/>
    <w:rsid w:val="00AE0A96"/>
    <w:rsid w:val="00AE13B9"/>
    <w:rsid w:val="00AE4A67"/>
    <w:rsid w:val="00AE5150"/>
    <w:rsid w:val="00AE6ECB"/>
    <w:rsid w:val="00AF49F7"/>
    <w:rsid w:val="00AF5546"/>
    <w:rsid w:val="00B01986"/>
    <w:rsid w:val="00B01A7B"/>
    <w:rsid w:val="00B01C92"/>
    <w:rsid w:val="00B0222D"/>
    <w:rsid w:val="00B06C9E"/>
    <w:rsid w:val="00B10931"/>
    <w:rsid w:val="00B12F2E"/>
    <w:rsid w:val="00B14D97"/>
    <w:rsid w:val="00B1633C"/>
    <w:rsid w:val="00B175D3"/>
    <w:rsid w:val="00B215EA"/>
    <w:rsid w:val="00B25498"/>
    <w:rsid w:val="00B257CE"/>
    <w:rsid w:val="00B317DF"/>
    <w:rsid w:val="00B42ABE"/>
    <w:rsid w:val="00B43CCB"/>
    <w:rsid w:val="00B50113"/>
    <w:rsid w:val="00B5567E"/>
    <w:rsid w:val="00B6354E"/>
    <w:rsid w:val="00B661B6"/>
    <w:rsid w:val="00B7096C"/>
    <w:rsid w:val="00B71BC9"/>
    <w:rsid w:val="00B7422F"/>
    <w:rsid w:val="00B74CFE"/>
    <w:rsid w:val="00B77065"/>
    <w:rsid w:val="00B811B5"/>
    <w:rsid w:val="00B81AF8"/>
    <w:rsid w:val="00B8413E"/>
    <w:rsid w:val="00B858F2"/>
    <w:rsid w:val="00B906F1"/>
    <w:rsid w:val="00B96F1F"/>
    <w:rsid w:val="00BA01BC"/>
    <w:rsid w:val="00BA125B"/>
    <w:rsid w:val="00BA1B01"/>
    <w:rsid w:val="00BA3450"/>
    <w:rsid w:val="00BB4C86"/>
    <w:rsid w:val="00BB7B98"/>
    <w:rsid w:val="00BC00A2"/>
    <w:rsid w:val="00BC0329"/>
    <w:rsid w:val="00BC4E87"/>
    <w:rsid w:val="00BC6FCC"/>
    <w:rsid w:val="00BD139F"/>
    <w:rsid w:val="00BD13CD"/>
    <w:rsid w:val="00BD2203"/>
    <w:rsid w:val="00BD2D13"/>
    <w:rsid w:val="00BD2ED7"/>
    <w:rsid w:val="00BD50AC"/>
    <w:rsid w:val="00BD6968"/>
    <w:rsid w:val="00BE045A"/>
    <w:rsid w:val="00BF1A11"/>
    <w:rsid w:val="00BF571D"/>
    <w:rsid w:val="00BF685F"/>
    <w:rsid w:val="00BF7FBE"/>
    <w:rsid w:val="00C0042D"/>
    <w:rsid w:val="00C00507"/>
    <w:rsid w:val="00C034A0"/>
    <w:rsid w:val="00C036E3"/>
    <w:rsid w:val="00C07543"/>
    <w:rsid w:val="00C07A5E"/>
    <w:rsid w:val="00C10D51"/>
    <w:rsid w:val="00C113A8"/>
    <w:rsid w:val="00C115E9"/>
    <w:rsid w:val="00C11B2D"/>
    <w:rsid w:val="00C11C21"/>
    <w:rsid w:val="00C20FD4"/>
    <w:rsid w:val="00C22DFC"/>
    <w:rsid w:val="00C22E93"/>
    <w:rsid w:val="00C267F8"/>
    <w:rsid w:val="00C274AE"/>
    <w:rsid w:val="00C41683"/>
    <w:rsid w:val="00C41B81"/>
    <w:rsid w:val="00C41C5B"/>
    <w:rsid w:val="00C51BD5"/>
    <w:rsid w:val="00C549CC"/>
    <w:rsid w:val="00C62353"/>
    <w:rsid w:val="00C673E6"/>
    <w:rsid w:val="00C67B54"/>
    <w:rsid w:val="00C72612"/>
    <w:rsid w:val="00C80046"/>
    <w:rsid w:val="00C8331B"/>
    <w:rsid w:val="00C83DDD"/>
    <w:rsid w:val="00C85654"/>
    <w:rsid w:val="00C8598B"/>
    <w:rsid w:val="00C8689B"/>
    <w:rsid w:val="00C87FF4"/>
    <w:rsid w:val="00C90915"/>
    <w:rsid w:val="00C93F7D"/>
    <w:rsid w:val="00C96E21"/>
    <w:rsid w:val="00C97C16"/>
    <w:rsid w:val="00CA14D9"/>
    <w:rsid w:val="00CA1655"/>
    <w:rsid w:val="00CA3BA3"/>
    <w:rsid w:val="00CA4561"/>
    <w:rsid w:val="00CA6799"/>
    <w:rsid w:val="00CA7D3E"/>
    <w:rsid w:val="00CB1DC3"/>
    <w:rsid w:val="00CB4110"/>
    <w:rsid w:val="00CB4FF1"/>
    <w:rsid w:val="00CB7040"/>
    <w:rsid w:val="00CC30D9"/>
    <w:rsid w:val="00CC3C50"/>
    <w:rsid w:val="00CC6D74"/>
    <w:rsid w:val="00CD0D80"/>
    <w:rsid w:val="00CD0DCB"/>
    <w:rsid w:val="00CE0319"/>
    <w:rsid w:val="00CE0BA4"/>
    <w:rsid w:val="00CE0F51"/>
    <w:rsid w:val="00CE38B9"/>
    <w:rsid w:val="00CE3C5C"/>
    <w:rsid w:val="00CE7D17"/>
    <w:rsid w:val="00CF05D4"/>
    <w:rsid w:val="00CF0A38"/>
    <w:rsid w:val="00CF4BC6"/>
    <w:rsid w:val="00D00DAA"/>
    <w:rsid w:val="00D0338F"/>
    <w:rsid w:val="00D034CB"/>
    <w:rsid w:val="00D10620"/>
    <w:rsid w:val="00D115B2"/>
    <w:rsid w:val="00D13F2F"/>
    <w:rsid w:val="00D2063A"/>
    <w:rsid w:val="00D259D5"/>
    <w:rsid w:val="00D36019"/>
    <w:rsid w:val="00D361AA"/>
    <w:rsid w:val="00D44B13"/>
    <w:rsid w:val="00D44EC8"/>
    <w:rsid w:val="00D47381"/>
    <w:rsid w:val="00D47FAE"/>
    <w:rsid w:val="00D55564"/>
    <w:rsid w:val="00D56B87"/>
    <w:rsid w:val="00D66C2A"/>
    <w:rsid w:val="00D67E32"/>
    <w:rsid w:val="00D72168"/>
    <w:rsid w:val="00D73E49"/>
    <w:rsid w:val="00D74D7E"/>
    <w:rsid w:val="00D75095"/>
    <w:rsid w:val="00D756F7"/>
    <w:rsid w:val="00D770B6"/>
    <w:rsid w:val="00D85541"/>
    <w:rsid w:val="00D85A55"/>
    <w:rsid w:val="00D86B8B"/>
    <w:rsid w:val="00D9059E"/>
    <w:rsid w:val="00D9199C"/>
    <w:rsid w:val="00D93BA2"/>
    <w:rsid w:val="00D94819"/>
    <w:rsid w:val="00D96971"/>
    <w:rsid w:val="00DA15D4"/>
    <w:rsid w:val="00DA2F56"/>
    <w:rsid w:val="00DA4473"/>
    <w:rsid w:val="00DA5C48"/>
    <w:rsid w:val="00DA62B7"/>
    <w:rsid w:val="00DA6BA9"/>
    <w:rsid w:val="00DB1A5A"/>
    <w:rsid w:val="00DB1D14"/>
    <w:rsid w:val="00DB2C9B"/>
    <w:rsid w:val="00DB6B59"/>
    <w:rsid w:val="00DB70A7"/>
    <w:rsid w:val="00DC0750"/>
    <w:rsid w:val="00DC2EBD"/>
    <w:rsid w:val="00DD1FCD"/>
    <w:rsid w:val="00DD45AD"/>
    <w:rsid w:val="00DE1410"/>
    <w:rsid w:val="00DE2523"/>
    <w:rsid w:val="00DF2077"/>
    <w:rsid w:val="00DF67E5"/>
    <w:rsid w:val="00E02E9D"/>
    <w:rsid w:val="00E032C2"/>
    <w:rsid w:val="00E052E7"/>
    <w:rsid w:val="00E10587"/>
    <w:rsid w:val="00E11F02"/>
    <w:rsid w:val="00E17B36"/>
    <w:rsid w:val="00E213DD"/>
    <w:rsid w:val="00E274A8"/>
    <w:rsid w:val="00E31EA0"/>
    <w:rsid w:val="00E35CF5"/>
    <w:rsid w:val="00E35D32"/>
    <w:rsid w:val="00E36624"/>
    <w:rsid w:val="00E4064D"/>
    <w:rsid w:val="00E41061"/>
    <w:rsid w:val="00E41A0B"/>
    <w:rsid w:val="00E4562F"/>
    <w:rsid w:val="00E46745"/>
    <w:rsid w:val="00E523DB"/>
    <w:rsid w:val="00E56DF1"/>
    <w:rsid w:val="00E70B0F"/>
    <w:rsid w:val="00E71F23"/>
    <w:rsid w:val="00E74886"/>
    <w:rsid w:val="00E756E6"/>
    <w:rsid w:val="00E805D5"/>
    <w:rsid w:val="00E807E0"/>
    <w:rsid w:val="00E822CB"/>
    <w:rsid w:val="00E86231"/>
    <w:rsid w:val="00E903C0"/>
    <w:rsid w:val="00E904D2"/>
    <w:rsid w:val="00E918D7"/>
    <w:rsid w:val="00E92F71"/>
    <w:rsid w:val="00E93740"/>
    <w:rsid w:val="00E9542C"/>
    <w:rsid w:val="00E9563D"/>
    <w:rsid w:val="00E95D4E"/>
    <w:rsid w:val="00E963C6"/>
    <w:rsid w:val="00E965BE"/>
    <w:rsid w:val="00E97687"/>
    <w:rsid w:val="00EA0808"/>
    <w:rsid w:val="00EA2681"/>
    <w:rsid w:val="00EA3903"/>
    <w:rsid w:val="00EA4858"/>
    <w:rsid w:val="00EA6B11"/>
    <w:rsid w:val="00EB44F3"/>
    <w:rsid w:val="00EB634A"/>
    <w:rsid w:val="00EC01DF"/>
    <w:rsid w:val="00EC567C"/>
    <w:rsid w:val="00ED06D2"/>
    <w:rsid w:val="00ED671B"/>
    <w:rsid w:val="00EE3B79"/>
    <w:rsid w:val="00EE6AF8"/>
    <w:rsid w:val="00EE7201"/>
    <w:rsid w:val="00EE7E96"/>
    <w:rsid w:val="00EF156F"/>
    <w:rsid w:val="00EF3510"/>
    <w:rsid w:val="00EF57BA"/>
    <w:rsid w:val="00EF5A8E"/>
    <w:rsid w:val="00EF60D7"/>
    <w:rsid w:val="00F0069F"/>
    <w:rsid w:val="00F020EC"/>
    <w:rsid w:val="00F0246B"/>
    <w:rsid w:val="00F02760"/>
    <w:rsid w:val="00F03975"/>
    <w:rsid w:val="00F11E42"/>
    <w:rsid w:val="00F13EA3"/>
    <w:rsid w:val="00F1640D"/>
    <w:rsid w:val="00F16617"/>
    <w:rsid w:val="00F16DA6"/>
    <w:rsid w:val="00F2255D"/>
    <w:rsid w:val="00F31116"/>
    <w:rsid w:val="00F3169D"/>
    <w:rsid w:val="00F32609"/>
    <w:rsid w:val="00F32C76"/>
    <w:rsid w:val="00F33268"/>
    <w:rsid w:val="00F34DBE"/>
    <w:rsid w:val="00F3607F"/>
    <w:rsid w:val="00F419B3"/>
    <w:rsid w:val="00F472A0"/>
    <w:rsid w:val="00F4787A"/>
    <w:rsid w:val="00F47C1E"/>
    <w:rsid w:val="00F526F2"/>
    <w:rsid w:val="00F56A8B"/>
    <w:rsid w:val="00F62E0E"/>
    <w:rsid w:val="00F63636"/>
    <w:rsid w:val="00F67697"/>
    <w:rsid w:val="00F678D2"/>
    <w:rsid w:val="00F711AB"/>
    <w:rsid w:val="00F72B5C"/>
    <w:rsid w:val="00F81879"/>
    <w:rsid w:val="00F81EA6"/>
    <w:rsid w:val="00F82AE3"/>
    <w:rsid w:val="00F86F3E"/>
    <w:rsid w:val="00F873E6"/>
    <w:rsid w:val="00F91123"/>
    <w:rsid w:val="00F95545"/>
    <w:rsid w:val="00F972E6"/>
    <w:rsid w:val="00FA40E1"/>
    <w:rsid w:val="00FB5419"/>
    <w:rsid w:val="00FB6203"/>
    <w:rsid w:val="00FC2E08"/>
    <w:rsid w:val="00FC337D"/>
    <w:rsid w:val="00FC3A66"/>
    <w:rsid w:val="00FD6F68"/>
    <w:rsid w:val="00FD6F90"/>
    <w:rsid w:val="00FE175D"/>
    <w:rsid w:val="00FE1F7D"/>
    <w:rsid w:val="00FE2AB9"/>
    <w:rsid w:val="00FE3E9B"/>
    <w:rsid w:val="00FE57C1"/>
    <w:rsid w:val="00FE591F"/>
    <w:rsid w:val="00FE632D"/>
    <w:rsid w:val="00FE7E98"/>
    <w:rsid w:val="00FF0EEF"/>
    <w:rsid w:val="00FF110A"/>
    <w:rsid w:val="00FF3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48270"/>
  <w15:chartTrackingRefBased/>
  <w15:docId w15:val="{9F972EE3-C368-46D8-A023-F4CDF4E75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24E"/>
    <w:rPr>
      <w:rFonts w:ascii="Calibri" w:eastAsia="Calibri" w:hAnsi="Calibri" w:cs="Times New Roman"/>
    </w:rPr>
  </w:style>
  <w:style w:type="paragraph" w:styleId="Heading2">
    <w:name w:val="heading 2"/>
    <w:basedOn w:val="Normal"/>
    <w:link w:val="Heading2Char"/>
    <w:uiPriority w:val="9"/>
    <w:unhideWhenUsed/>
    <w:qFormat/>
    <w:rsid w:val="009D7A12"/>
    <w:pPr>
      <w:spacing w:after="150" w:line="240" w:lineRule="auto"/>
      <w:outlineLvl w:val="1"/>
    </w:pPr>
    <w:rPr>
      <w:rFonts w:ascii="Arial" w:eastAsiaTheme="minorHAnsi" w:hAnsi="Arial" w:cs="Arial"/>
      <w:b/>
      <w:bCs/>
      <w:color w:val="30303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42E"/>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46542E"/>
  </w:style>
  <w:style w:type="paragraph" w:styleId="Footer">
    <w:name w:val="footer"/>
    <w:basedOn w:val="Normal"/>
    <w:link w:val="FooterChar"/>
    <w:uiPriority w:val="99"/>
    <w:unhideWhenUsed/>
    <w:rsid w:val="0046542E"/>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46542E"/>
  </w:style>
  <w:style w:type="paragraph" w:styleId="NoSpacing">
    <w:name w:val="No Spacing"/>
    <w:link w:val="NoSpacingChar"/>
    <w:uiPriority w:val="1"/>
    <w:qFormat/>
    <w:rsid w:val="007F427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F427B"/>
    <w:rPr>
      <w:rFonts w:eastAsiaTheme="minorEastAsia"/>
      <w:lang w:val="en-US"/>
    </w:rPr>
  </w:style>
  <w:style w:type="paragraph" w:styleId="BalloonText">
    <w:name w:val="Balloon Text"/>
    <w:basedOn w:val="Normal"/>
    <w:link w:val="BalloonTextChar"/>
    <w:uiPriority w:val="99"/>
    <w:semiHidden/>
    <w:unhideWhenUsed/>
    <w:rsid w:val="00BE04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45A"/>
    <w:rPr>
      <w:rFonts w:ascii="Segoe UI" w:hAnsi="Segoe UI" w:cs="Segoe UI"/>
      <w:sz w:val="18"/>
      <w:szCs w:val="18"/>
    </w:rPr>
  </w:style>
  <w:style w:type="table" w:styleId="TableGrid">
    <w:name w:val="Table Grid"/>
    <w:basedOn w:val="TableNormal"/>
    <w:uiPriority w:val="39"/>
    <w:rsid w:val="00886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6F90"/>
    <w:pPr>
      <w:ind w:left="720"/>
      <w:contextualSpacing/>
    </w:pPr>
  </w:style>
  <w:style w:type="character" w:customStyle="1" w:styleId="Heading2Char">
    <w:name w:val="Heading 2 Char"/>
    <w:basedOn w:val="DefaultParagraphFont"/>
    <w:link w:val="Heading2"/>
    <w:uiPriority w:val="9"/>
    <w:rsid w:val="009D7A12"/>
    <w:rPr>
      <w:rFonts w:ascii="Arial" w:hAnsi="Arial" w:cs="Arial"/>
      <w:b/>
      <w:bCs/>
      <w:color w:val="303030"/>
      <w:sz w:val="27"/>
      <w:szCs w:val="27"/>
      <w:lang w:eastAsia="en-GB"/>
    </w:rPr>
  </w:style>
  <w:style w:type="character" w:styleId="Hyperlink">
    <w:name w:val="Hyperlink"/>
    <w:basedOn w:val="DefaultParagraphFont"/>
    <w:uiPriority w:val="99"/>
    <w:unhideWhenUsed/>
    <w:rsid w:val="009D7A12"/>
    <w:rPr>
      <w:color w:val="F49100" w:themeColor="hyperlink"/>
      <w:u w:val="single"/>
    </w:rPr>
  </w:style>
  <w:style w:type="character" w:styleId="Strong">
    <w:name w:val="Strong"/>
    <w:basedOn w:val="DefaultParagraphFont"/>
    <w:uiPriority w:val="22"/>
    <w:qFormat/>
    <w:rsid w:val="009D7A12"/>
    <w:rPr>
      <w:b/>
      <w:bCs/>
    </w:rPr>
  </w:style>
  <w:style w:type="character" w:styleId="Emphasis">
    <w:name w:val="Emphasis"/>
    <w:basedOn w:val="DefaultParagraphFont"/>
    <w:uiPriority w:val="20"/>
    <w:qFormat/>
    <w:rsid w:val="009D7A12"/>
    <w:rPr>
      <w:i/>
      <w:iCs/>
    </w:rPr>
  </w:style>
  <w:style w:type="paragraph" w:customStyle="1" w:styleId="xmsolistparagraph">
    <w:name w:val="x_msolistparagraph"/>
    <w:basedOn w:val="Normal"/>
    <w:rsid w:val="003B6C98"/>
    <w:pPr>
      <w:spacing w:line="252" w:lineRule="auto"/>
      <w:ind w:left="720"/>
    </w:pPr>
    <w:rPr>
      <w:rFonts w:eastAsiaTheme="minorHAnsi"/>
      <w:lang w:eastAsia="en-GB"/>
    </w:rPr>
  </w:style>
  <w:style w:type="character" w:styleId="CommentReference">
    <w:name w:val="annotation reference"/>
    <w:basedOn w:val="DefaultParagraphFont"/>
    <w:uiPriority w:val="99"/>
    <w:semiHidden/>
    <w:unhideWhenUsed/>
    <w:rsid w:val="007172FC"/>
    <w:rPr>
      <w:sz w:val="16"/>
      <w:szCs w:val="16"/>
    </w:rPr>
  </w:style>
  <w:style w:type="paragraph" w:styleId="CommentText">
    <w:name w:val="annotation text"/>
    <w:basedOn w:val="Normal"/>
    <w:link w:val="CommentTextChar"/>
    <w:uiPriority w:val="99"/>
    <w:unhideWhenUsed/>
    <w:rsid w:val="007172FC"/>
    <w:pPr>
      <w:spacing w:line="240" w:lineRule="auto"/>
    </w:pPr>
    <w:rPr>
      <w:sz w:val="20"/>
      <w:szCs w:val="20"/>
    </w:rPr>
  </w:style>
  <w:style w:type="character" w:customStyle="1" w:styleId="CommentTextChar">
    <w:name w:val="Comment Text Char"/>
    <w:basedOn w:val="DefaultParagraphFont"/>
    <w:link w:val="CommentText"/>
    <w:uiPriority w:val="99"/>
    <w:rsid w:val="007172F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172FC"/>
    <w:rPr>
      <w:b/>
      <w:bCs/>
    </w:rPr>
  </w:style>
  <w:style w:type="character" w:customStyle="1" w:styleId="CommentSubjectChar">
    <w:name w:val="Comment Subject Char"/>
    <w:basedOn w:val="CommentTextChar"/>
    <w:link w:val="CommentSubject"/>
    <w:uiPriority w:val="99"/>
    <w:semiHidden/>
    <w:rsid w:val="007172FC"/>
    <w:rPr>
      <w:rFonts w:ascii="Calibri" w:eastAsia="Calibri" w:hAnsi="Calibri" w:cs="Times New Roman"/>
      <w:b/>
      <w:bCs/>
      <w:sz w:val="20"/>
      <w:szCs w:val="20"/>
    </w:rPr>
  </w:style>
  <w:style w:type="paragraph" w:styleId="Revision">
    <w:name w:val="Revision"/>
    <w:hidden/>
    <w:uiPriority w:val="99"/>
    <w:semiHidden/>
    <w:rsid w:val="007172FC"/>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BD2D13"/>
    <w:rPr>
      <w:color w:val="605E5C"/>
      <w:shd w:val="clear" w:color="auto" w:fill="E1DFDD"/>
    </w:rPr>
  </w:style>
  <w:style w:type="paragraph" w:styleId="NormalWeb">
    <w:name w:val="Normal (Web)"/>
    <w:basedOn w:val="Normal"/>
    <w:uiPriority w:val="99"/>
    <w:unhideWhenUsed/>
    <w:rsid w:val="005A6BCF"/>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967EC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967EC7"/>
  </w:style>
  <w:style w:type="character" w:customStyle="1" w:styleId="eop">
    <w:name w:val="eop"/>
    <w:basedOn w:val="DefaultParagraphFont"/>
    <w:rsid w:val="00967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1208">
      <w:bodyDiv w:val="1"/>
      <w:marLeft w:val="0"/>
      <w:marRight w:val="0"/>
      <w:marTop w:val="0"/>
      <w:marBottom w:val="0"/>
      <w:divBdr>
        <w:top w:val="none" w:sz="0" w:space="0" w:color="auto"/>
        <w:left w:val="none" w:sz="0" w:space="0" w:color="auto"/>
        <w:bottom w:val="none" w:sz="0" w:space="0" w:color="auto"/>
        <w:right w:val="none" w:sz="0" w:space="0" w:color="auto"/>
      </w:divBdr>
    </w:div>
    <w:div w:id="38866587">
      <w:bodyDiv w:val="1"/>
      <w:marLeft w:val="0"/>
      <w:marRight w:val="0"/>
      <w:marTop w:val="0"/>
      <w:marBottom w:val="0"/>
      <w:divBdr>
        <w:top w:val="none" w:sz="0" w:space="0" w:color="auto"/>
        <w:left w:val="none" w:sz="0" w:space="0" w:color="auto"/>
        <w:bottom w:val="none" w:sz="0" w:space="0" w:color="auto"/>
        <w:right w:val="none" w:sz="0" w:space="0" w:color="auto"/>
      </w:divBdr>
    </w:div>
    <w:div w:id="52240027">
      <w:bodyDiv w:val="1"/>
      <w:marLeft w:val="0"/>
      <w:marRight w:val="0"/>
      <w:marTop w:val="0"/>
      <w:marBottom w:val="0"/>
      <w:divBdr>
        <w:top w:val="none" w:sz="0" w:space="0" w:color="auto"/>
        <w:left w:val="none" w:sz="0" w:space="0" w:color="auto"/>
        <w:bottom w:val="none" w:sz="0" w:space="0" w:color="auto"/>
        <w:right w:val="none" w:sz="0" w:space="0" w:color="auto"/>
      </w:divBdr>
    </w:div>
    <w:div w:id="85660228">
      <w:bodyDiv w:val="1"/>
      <w:marLeft w:val="0"/>
      <w:marRight w:val="0"/>
      <w:marTop w:val="0"/>
      <w:marBottom w:val="0"/>
      <w:divBdr>
        <w:top w:val="none" w:sz="0" w:space="0" w:color="auto"/>
        <w:left w:val="none" w:sz="0" w:space="0" w:color="auto"/>
        <w:bottom w:val="none" w:sz="0" w:space="0" w:color="auto"/>
        <w:right w:val="none" w:sz="0" w:space="0" w:color="auto"/>
      </w:divBdr>
    </w:div>
    <w:div w:id="129640243">
      <w:bodyDiv w:val="1"/>
      <w:marLeft w:val="0"/>
      <w:marRight w:val="0"/>
      <w:marTop w:val="0"/>
      <w:marBottom w:val="0"/>
      <w:divBdr>
        <w:top w:val="none" w:sz="0" w:space="0" w:color="auto"/>
        <w:left w:val="none" w:sz="0" w:space="0" w:color="auto"/>
        <w:bottom w:val="none" w:sz="0" w:space="0" w:color="auto"/>
        <w:right w:val="none" w:sz="0" w:space="0" w:color="auto"/>
      </w:divBdr>
    </w:div>
    <w:div w:id="152916760">
      <w:bodyDiv w:val="1"/>
      <w:marLeft w:val="0"/>
      <w:marRight w:val="0"/>
      <w:marTop w:val="0"/>
      <w:marBottom w:val="0"/>
      <w:divBdr>
        <w:top w:val="none" w:sz="0" w:space="0" w:color="auto"/>
        <w:left w:val="none" w:sz="0" w:space="0" w:color="auto"/>
        <w:bottom w:val="none" w:sz="0" w:space="0" w:color="auto"/>
        <w:right w:val="none" w:sz="0" w:space="0" w:color="auto"/>
      </w:divBdr>
    </w:div>
    <w:div w:id="278805039">
      <w:bodyDiv w:val="1"/>
      <w:marLeft w:val="0"/>
      <w:marRight w:val="0"/>
      <w:marTop w:val="0"/>
      <w:marBottom w:val="0"/>
      <w:divBdr>
        <w:top w:val="none" w:sz="0" w:space="0" w:color="auto"/>
        <w:left w:val="none" w:sz="0" w:space="0" w:color="auto"/>
        <w:bottom w:val="none" w:sz="0" w:space="0" w:color="auto"/>
        <w:right w:val="none" w:sz="0" w:space="0" w:color="auto"/>
      </w:divBdr>
    </w:div>
    <w:div w:id="298851752">
      <w:bodyDiv w:val="1"/>
      <w:marLeft w:val="0"/>
      <w:marRight w:val="0"/>
      <w:marTop w:val="0"/>
      <w:marBottom w:val="0"/>
      <w:divBdr>
        <w:top w:val="none" w:sz="0" w:space="0" w:color="auto"/>
        <w:left w:val="none" w:sz="0" w:space="0" w:color="auto"/>
        <w:bottom w:val="none" w:sz="0" w:space="0" w:color="auto"/>
        <w:right w:val="none" w:sz="0" w:space="0" w:color="auto"/>
      </w:divBdr>
    </w:div>
    <w:div w:id="353918866">
      <w:bodyDiv w:val="1"/>
      <w:marLeft w:val="0"/>
      <w:marRight w:val="0"/>
      <w:marTop w:val="0"/>
      <w:marBottom w:val="0"/>
      <w:divBdr>
        <w:top w:val="none" w:sz="0" w:space="0" w:color="auto"/>
        <w:left w:val="none" w:sz="0" w:space="0" w:color="auto"/>
        <w:bottom w:val="none" w:sz="0" w:space="0" w:color="auto"/>
        <w:right w:val="none" w:sz="0" w:space="0" w:color="auto"/>
      </w:divBdr>
    </w:div>
    <w:div w:id="431128561">
      <w:bodyDiv w:val="1"/>
      <w:marLeft w:val="0"/>
      <w:marRight w:val="0"/>
      <w:marTop w:val="0"/>
      <w:marBottom w:val="0"/>
      <w:divBdr>
        <w:top w:val="none" w:sz="0" w:space="0" w:color="auto"/>
        <w:left w:val="none" w:sz="0" w:space="0" w:color="auto"/>
        <w:bottom w:val="none" w:sz="0" w:space="0" w:color="auto"/>
        <w:right w:val="none" w:sz="0" w:space="0" w:color="auto"/>
      </w:divBdr>
    </w:div>
    <w:div w:id="562374954">
      <w:bodyDiv w:val="1"/>
      <w:marLeft w:val="0"/>
      <w:marRight w:val="0"/>
      <w:marTop w:val="0"/>
      <w:marBottom w:val="0"/>
      <w:divBdr>
        <w:top w:val="none" w:sz="0" w:space="0" w:color="auto"/>
        <w:left w:val="none" w:sz="0" w:space="0" w:color="auto"/>
        <w:bottom w:val="none" w:sz="0" w:space="0" w:color="auto"/>
        <w:right w:val="none" w:sz="0" w:space="0" w:color="auto"/>
      </w:divBdr>
    </w:div>
    <w:div w:id="589317442">
      <w:bodyDiv w:val="1"/>
      <w:marLeft w:val="0"/>
      <w:marRight w:val="0"/>
      <w:marTop w:val="0"/>
      <w:marBottom w:val="0"/>
      <w:divBdr>
        <w:top w:val="none" w:sz="0" w:space="0" w:color="auto"/>
        <w:left w:val="none" w:sz="0" w:space="0" w:color="auto"/>
        <w:bottom w:val="none" w:sz="0" w:space="0" w:color="auto"/>
        <w:right w:val="none" w:sz="0" w:space="0" w:color="auto"/>
      </w:divBdr>
    </w:div>
    <w:div w:id="601183051">
      <w:bodyDiv w:val="1"/>
      <w:marLeft w:val="0"/>
      <w:marRight w:val="0"/>
      <w:marTop w:val="0"/>
      <w:marBottom w:val="0"/>
      <w:divBdr>
        <w:top w:val="none" w:sz="0" w:space="0" w:color="auto"/>
        <w:left w:val="none" w:sz="0" w:space="0" w:color="auto"/>
        <w:bottom w:val="none" w:sz="0" w:space="0" w:color="auto"/>
        <w:right w:val="none" w:sz="0" w:space="0" w:color="auto"/>
      </w:divBdr>
    </w:div>
    <w:div w:id="645553521">
      <w:bodyDiv w:val="1"/>
      <w:marLeft w:val="0"/>
      <w:marRight w:val="0"/>
      <w:marTop w:val="0"/>
      <w:marBottom w:val="0"/>
      <w:divBdr>
        <w:top w:val="none" w:sz="0" w:space="0" w:color="auto"/>
        <w:left w:val="none" w:sz="0" w:space="0" w:color="auto"/>
        <w:bottom w:val="none" w:sz="0" w:space="0" w:color="auto"/>
        <w:right w:val="none" w:sz="0" w:space="0" w:color="auto"/>
      </w:divBdr>
    </w:div>
    <w:div w:id="709038216">
      <w:bodyDiv w:val="1"/>
      <w:marLeft w:val="0"/>
      <w:marRight w:val="0"/>
      <w:marTop w:val="0"/>
      <w:marBottom w:val="0"/>
      <w:divBdr>
        <w:top w:val="none" w:sz="0" w:space="0" w:color="auto"/>
        <w:left w:val="none" w:sz="0" w:space="0" w:color="auto"/>
        <w:bottom w:val="none" w:sz="0" w:space="0" w:color="auto"/>
        <w:right w:val="none" w:sz="0" w:space="0" w:color="auto"/>
      </w:divBdr>
    </w:div>
    <w:div w:id="710299796">
      <w:bodyDiv w:val="1"/>
      <w:marLeft w:val="0"/>
      <w:marRight w:val="0"/>
      <w:marTop w:val="0"/>
      <w:marBottom w:val="0"/>
      <w:divBdr>
        <w:top w:val="none" w:sz="0" w:space="0" w:color="auto"/>
        <w:left w:val="none" w:sz="0" w:space="0" w:color="auto"/>
        <w:bottom w:val="none" w:sz="0" w:space="0" w:color="auto"/>
        <w:right w:val="none" w:sz="0" w:space="0" w:color="auto"/>
      </w:divBdr>
    </w:div>
    <w:div w:id="710883108">
      <w:bodyDiv w:val="1"/>
      <w:marLeft w:val="0"/>
      <w:marRight w:val="0"/>
      <w:marTop w:val="0"/>
      <w:marBottom w:val="0"/>
      <w:divBdr>
        <w:top w:val="none" w:sz="0" w:space="0" w:color="auto"/>
        <w:left w:val="none" w:sz="0" w:space="0" w:color="auto"/>
        <w:bottom w:val="none" w:sz="0" w:space="0" w:color="auto"/>
        <w:right w:val="none" w:sz="0" w:space="0" w:color="auto"/>
      </w:divBdr>
    </w:div>
    <w:div w:id="723918335">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72475622">
      <w:bodyDiv w:val="1"/>
      <w:marLeft w:val="0"/>
      <w:marRight w:val="0"/>
      <w:marTop w:val="0"/>
      <w:marBottom w:val="0"/>
      <w:divBdr>
        <w:top w:val="none" w:sz="0" w:space="0" w:color="auto"/>
        <w:left w:val="none" w:sz="0" w:space="0" w:color="auto"/>
        <w:bottom w:val="none" w:sz="0" w:space="0" w:color="auto"/>
        <w:right w:val="none" w:sz="0" w:space="0" w:color="auto"/>
      </w:divBdr>
    </w:div>
    <w:div w:id="775903512">
      <w:bodyDiv w:val="1"/>
      <w:marLeft w:val="0"/>
      <w:marRight w:val="0"/>
      <w:marTop w:val="0"/>
      <w:marBottom w:val="0"/>
      <w:divBdr>
        <w:top w:val="none" w:sz="0" w:space="0" w:color="auto"/>
        <w:left w:val="none" w:sz="0" w:space="0" w:color="auto"/>
        <w:bottom w:val="none" w:sz="0" w:space="0" w:color="auto"/>
        <w:right w:val="none" w:sz="0" w:space="0" w:color="auto"/>
      </w:divBdr>
    </w:div>
    <w:div w:id="779644067">
      <w:bodyDiv w:val="1"/>
      <w:marLeft w:val="0"/>
      <w:marRight w:val="0"/>
      <w:marTop w:val="0"/>
      <w:marBottom w:val="0"/>
      <w:divBdr>
        <w:top w:val="none" w:sz="0" w:space="0" w:color="auto"/>
        <w:left w:val="none" w:sz="0" w:space="0" w:color="auto"/>
        <w:bottom w:val="none" w:sz="0" w:space="0" w:color="auto"/>
        <w:right w:val="none" w:sz="0" w:space="0" w:color="auto"/>
      </w:divBdr>
    </w:div>
    <w:div w:id="878207417">
      <w:bodyDiv w:val="1"/>
      <w:marLeft w:val="0"/>
      <w:marRight w:val="0"/>
      <w:marTop w:val="0"/>
      <w:marBottom w:val="0"/>
      <w:divBdr>
        <w:top w:val="none" w:sz="0" w:space="0" w:color="auto"/>
        <w:left w:val="none" w:sz="0" w:space="0" w:color="auto"/>
        <w:bottom w:val="none" w:sz="0" w:space="0" w:color="auto"/>
        <w:right w:val="none" w:sz="0" w:space="0" w:color="auto"/>
      </w:divBdr>
    </w:div>
    <w:div w:id="886603101">
      <w:bodyDiv w:val="1"/>
      <w:marLeft w:val="0"/>
      <w:marRight w:val="0"/>
      <w:marTop w:val="0"/>
      <w:marBottom w:val="0"/>
      <w:divBdr>
        <w:top w:val="none" w:sz="0" w:space="0" w:color="auto"/>
        <w:left w:val="none" w:sz="0" w:space="0" w:color="auto"/>
        <w:bottom w:val="none" w:sz="0" w:space="0" w:color="auto"/>
        <w:right w:val="none" w:sz="0" w:space="0" w:color="auto"/>
      </w:divBdr>
    </w:div>
    <w:div w:id="1044140328">
      <w:bodyDiv w:val="1"/>
      <w:marLeft w:val="0"/>
      <w:marRight w:val="0"/>
      <w:marTop w:val="0"/>
      <w:marBottom w:val="0"/>
      <w:divBdr>
        <w:top w:val="none" w:sz="0" w:space="0" w:color="auto"/>
        <w:left w:val="none" w:sz="0" w:space="0" w:color="auto"/>
        <w:bottom w:val="none" w:sz="0" w:space="0" w:color="auto"/>
        <w:right w:val="none" w:sz="0" w:space="0" w:color="auto"/>
      </w:divBdr>
    </w:div>
    <w:div w:id="1141732711">
      <w:bodyDiv w:val="1"/>
      <w:marLeft w:val="0"/>
      <w:marRight w:val="0"/>
      <w:marTop w:val="0"/>
      <w:marBottom w:val="0"/>
      <w:divBdr>
        <w:top w:val="none" w:sz="0" w:space="0" w:color="auto"/>
        <w:left w:val="none" w:sz="0" w:space="0" w:color="auto"/>
        <w:bottom w:val="none" w:sz="0" w:space="0" w:color="auto"/>
        <w:right w:val="none" w:sz="0" w:space="0" w:color="auto"/>
      </w:divBdr>
    </w:div>
    <w:div w:id="1146969168">
      <w:bodyDiv w:val="1"/>
      <w:marLeft w:val="0"/>
      <w:marRight w:val="0"/>
      <w:marTop w:val="0"/>
      <w:marBottom w:val="0"/>
      <w:divBdr>
        <w:top w:val="none" w:sz="0" w:space="0" w:color="auto"/>
        <w:left w:val="none" w:sz="0" w:space="0" w:color="auto"/>
        <w:bottom w:val="none" w:sz="0" w:space="0" w:color="auto"/>
        <w:right w:val="none" w:sz="0" w:space="0" w:color="auto"/>
      </w:divBdr>
    </w:div>
    <w:div w:id="1224564474">
      <w:bodyDiv w:val="1"/>
      <w:marLeft w:val="0"/>
      <w:marRight w:val="0"/>
      <w:marTop w:val="0"/>
      <w:marBottom w:val="0"/>
      <w:divBdr>
        <w:top w:val="none" w:sz="0" w:space="0" w:color="auto"/>
        <w:left w:val="none" w:sz="0" w:space="0" w:color="auto"/>
        <w:bottom w:val="none" w:sz="0" w:space="0" w:color="auto"/>
        <w:right w:val="none" w:sz="0" w:space="0" w:color="auto"/>
      </w:divBdr>
    </w:div>
    <w:div w:id="1264341406">
      <w:bodyDiv w:val="1"/>
      <w:marLeft w:val="0"/>
      <w:marRight w:val="0"/>
      <w:marTop w:val="0"/>
      <w:marBottom w:val="0"/>
      <w:divBdr>
        <w:top w:val="none" w:sz="0" w:space="0" w:color="auto"/>
        <w:left w:val="none" w:sz="0" w:space="0" w:color="auto"/>
        <w:bottom w:val="none" w:sz="0" w:space="0" w:color="auto"/>
        <w:right w:val="none" w:sz="0" w:space="0" w:color="auto"/>
      </w:divBdr>
    </w:div>
    <w:div w:id="1269315949">
      <w:bodyDiv w:val="1"/>
      <w:marLeft w:val="0"/>
      <w:marRight w:val="0"/>
      <w:marTop w:val="0"/>
      <w:marBottom w:val="0"/>
      <w:divBdr>
        <w:top w:val="none" w:sz="0" w:space="0" w:color="auto"/>
        <w:left w:val="none" w:sz="0" w:space="0" w:color="auto"/>
        <w:bottom w:val="none" w:sz="0" w:space="0" w:color="auto"/>
        <w:right w:val="none" w:sz="0" w:space="0" w:color="auto"/>
      </w:divBdr>
    </w:div>
    <w:div w:id="1303192897">
      <w:bodyDiv w:val="1"/>
      <w:marLeft w:val="0"/>
      <w:marRight w:val="0"/>
      <w:marTop w:val="0"/>
      <w:marBottom w:val="0"/>
      <w:divBdr>
        <w:top w:val="none" w:sz="0" w:space="0" w:color="auto"/>
        <w:left w:val="none" w:sz="0" w:space="0" w:color="auto"/>
        <w:bottom w:val="none" w:sz="0" w:space="0" w:color="auto"/>
        <w:right w:val="none" w:sz="0" w:space="0" w:color="auto"/>
      </w:divBdr>
    </w:div>
    <w:div w:id="1357659725">
      <w:bodyDiv w:val="1"/>
      <w:marLeft w:val="0"/>
      <w:marRight w:val="0"/>
      <w:marTop w:val="0"/>
      <w:marBottom w:val="0"/>
      <w:divBdr>
        <w:top w:val="none" w:sz="0" w:space="0" w:color="auto"/>
        <w:left w:val="none" w:sz="0" w:space="0" w:color="auto"/>
        <w:bottom w:val="none" w:sz="0" w:space="0" w:color="auto"/>
        <w:right w:val="none" w:sz="0" w:space="0" w:color="auto"/>
      </w:divBdr>
    </w:div>
    <w:div w:id="1385828923">
      <w:bodyDiv w:val="1"/>
      <w:marLeft w:val="0"/>
      <w:marRight w:val="0"/>
      <w:marTop w:val="0"/>
      <w:marBottom w:val="0"/>
      <w:divBdr>
        <w:top w:val="none" w:sz="0" w:space="0" w:color="auto"/>
        <w:left w:val="none" w:sz="0" w:space="0" w:color="auto"/>
        <w:bottom w:val="none" w:sz="0" w:space="0" w:color="auto"/>
        <w:right w:val="none" w:sz="0" w:space="0" w:color="auto"/>
      </w:divBdr>
    </w:div>
    <w:div w:id="1399086029">
      <w:bodyDiv w:val="1"/>
      <w:marLeft w:val="0"/>
      <w:marRight w:val="0"/>
      <w:marTop w:val="0"/>
      <w:marBottom w:val="0"/>
      <w:divBdr>
        <w:top w:val="none" w:sz="0" w:space="0" w:color="auto"/>
        <w:left w:val="none" w:sz="0" w:space="0" w:color="auto"/>
        <w:bottom w:val="none" w:sz="0" w:space="0" w:color="auto"/>
        <w:right w:val="none" w:sz="0" w:space="0" w:color="auto"/>
      </w:divBdr>
    </w:div>
    <w:div w:id="1431387241">
      <w:bodyDiv w:val="1"/>
      <w:marLeft w:val="0"/>
      <w:marRight w:val="0"/>
      <w:marTop w:val="0"/>
      <w:marBottom w:val="0"/>
      <w:divBdr>
        <w:top w:val="none" w:sz="0" w:space="0" w:color="auto"/>
        <w:left w:val="none" w:sz="0" w:space="0" w:color="auto"/>
        <w:bottom w:val="none" w:sz="0" w:space="0" w:color="auto"/>
        <w:right w:val="none" w:sz="0" w:space="0" w:color="auto"/>
      </w:divBdr>
    </w:div>
    <w:div w:id="1527602057">
      <w:bodyDiv w:val="1"/>
      <w:marLeft w:val="0"/>
      <w:marRight w:val="0"/>
      <w:marTop w:val="0"/>
      <w:marBottom w:val="0"/>
      <w:divBdr>
        <w:top w:val="none" w:sz="0" w:space="0" w:color="auto"/>
        <w:left w:val="none" w:sz="0" w:space="0" w:color="auto"/>
        <w:bottom w:val="none" w:sz="0" w:space="0" w:color="auto"/>
        <w:right w:val="none" w:sz="0" w:space="0" w:color="auto"/>
      </w:divBdr>
    </w:div>
    <w:div w:id="1613441240">
      <w:bodyDiv w:val="1"/>
      <w:marLeft w:val="0"/>
      <w:marRight w:val="0"/>
      <w:marTop w:val="0"/>
      <w:marBottom w:val="0"/>
      <w:divBdr>
        <w:top w:val="none" w:sz="0" w:space="0" w:color="auto"/>
        <w:left w:val="none" w:sz="0" w:space="0" w:color="auto"/>
        <w:bottom w:val="none" w:sz="0" w:space="0" w:color="auto"/>
        <w:right w:val="none" w:sz="0" w:space="0" w:color="auto"/>
      </w:divBdr>
    </w:div>
    <w:div w:id="1624850779">
      <w:bodyDiv w:val="1"/>
      <w:marLeft w:val="0"/>
      <w:marRight w:val="0"/>
      <w:marTop w:val="0"/>
      <w:marBottom w:val="0"/>
      <w:divBdr>
        <w:top w:val="none" w:sz="0" w:space="0" w:color="auto"/>
        <w:left w:val="none" w:sz="0" w:space="0" w:color="auto"/>
        <w:bottom w:val="none" w:sz="0" w:space="0" w:color="auto"/>
        <w:right w:val="none" w:sz="0" w:space="0" w:color="auto"/>
      </w:divBdr>
    </w:div>
    <w:div w:id="1642686390">
      <w:bodyDiv w:val="1"/>
      <w:marLeft w:val="0"/>
      <w:marRight w:val="0"/>
      <w:marTop w:val="0"/>
      <w:marBottom w:val="0"/>
      <w:divBdr>
        <w:top w:val="none" w:sz="0" w:space="0" w:color="auto"/>
        <w:left w:val="none" w:sz="0" w:space="0" w:color="auto"/>
        <w:bottom w:val="none" w:sz="0" w:space="0" w:color="auto"/>
        <w:right w:val="none" w:sz="0" w:space="0" w:color="auto"/>
      </w:divBdr>
    </w:div>
    <w:div w:id="1674801053">
      <w:bodyDiv w:val="1"/>
      <w:marLeft w:val="0"/>
      <w:marRight w:val="0"/>
      <w:marTop w:val="0"/>
      <w:marBottom w:val="0"/>
      <w:divBdr>
        <w:top w:val="none" w:sz="0" w:space="0" w:color="auto"/>
        <w:left w:val="none" w:sz="0" w:space="0" w:color="auto"/>
        <w:bottom w:val="none" w:sz="0" w:space="0" w:color="auto"/>
        <w:right w:val="none" w:sz="0" w:space="0" w:color="auto"/>
      </w:divBdr>
    </w:div>
    <w:div w:id="1831556014">
      <w:bodyDiv w:val="1"/>
      <w:marLeft w:val="0"/>
      <w:marRight w:val="0"/>
      <w:marTop w:val="0"/>
      <w:marBottom w:val="0"/>
      <w:divBdr>
        <w:top w:val="none" w:sz="0" w:space="0" w:color="auto"/>
        <w:left w:val="none" w:sz="0" w:space="0" w:color="auto"/>
        <w:bottom w:val="none" w:sz="0" w:space="0" w:color="auto"/>
        <w:right w:val="none" w:sz="0" w:space="0" w:color="auto"/>
      </w:divBdr>
    </w:div>
    <w:div w:id="1845898794">
      <w:bodyDiv w:val="1"/>
      <w:marLeft w:val="0"/>
      <w:marRight w:val="0"/>
      <w:marTop w:val="0"/>
      <w:marBottom w:val="0"/>
      <w:divBdr>
        <w:top w:val="none" w:sz="0" w:space="0" w:color="auto"/>
        <w:left w:val="none" w:sz="0" w:space="0" w:color="auto"/>
        <w:bottom w:val="none" w:sz="0" w:space="0" w:color="auto"/>
        <w:right w:val="none" w:sz="0" w:space="0" w:color="auto"/>
      </w:divBdr>
      <w:divsChild>
        <w:div w:id="106436326">
          <w:marLeft w:val="0"/>
          <w:marRight w:val="0"/>
          <w:marTop w:val="0"/>
          <w:marBottom w:val="0"/>
          <w:divBdr>
            <w:top w:val="none" w:sz="0" w:space="0" w:color="auto"/>
            <w:left w:val="none" w:sz="0" w:space="0" w:color="auto"/>
            <w:bottom w:val="none" w:sz="0" w:space="0" w:color="auto"/>
            <w:right w:val="none" w:sz="0" w:space="0" w:color="auto"/>
          </w:divBdr>
        </w:div>
        <w:div w:id="2076469507">
          <w:marLeft w:val="0"/>
          <w:marRight w:val="0"/>
          <w:marTop w:val="0"/>
          <w:marBottom w:val="0"/>
          <w:divBdr>
            <w:top w:val="none" w:sz="0" w:space="0" w:color="auto"/>
            <w:left w:val="none" w:sz="0" w:space="0" w:color="auto"/>
            <w:bottom w:val="none" w:sz="0" w:space="0" w:color="auto"/>
            <w:right w:val="none" w:sz="0" w:space="0" w:color="auto"/>
          </w:divBdr>
        </w:div>
        <w:div w:id="1375546531">
          <w:marLeft w:val="0"/>
          <w:marRight w:val="0"/>
          <w:marTop w:val="0"/>
          <w:marBottom w:val="0"/>
          <w:divBdr>
            <w:top w:val="none" w:sz="0" w:space="0" w:color="auto"/>
            <w:left w:val="none" w:sz="0" w:space="0" w:color="auto"/>
            <w:bottom w:val="none" w:sz="0" w:space="0" w:color="auto"/>
            <w:right w:val="none" w:sz="0" w:space="0" w:color="auto"/>
          </w:divBdr>
        </w:div>
        <w:div w:id="256839070">
          <w:marLeft w:val="0"/>
          <w:marRight w:val="0"/>
          <w:marTop w:val="0"/>
          <w:marBottom w:val="0"/>
          <w:divBdr>
            <w:top w:val="none" w:sz="0" w:space="0" w:color="auto"/>
            <w:left w:val="none" w:sz="0" w:space="0" w:color="auto"/>
            <w:bottom w:val="none" w:sz="0" w:space="0" w:color="auto"/>
            <w:right w:val="none" w:sz="0" w:space="0" w:color="auto"/>
          </w:divBdr>
        </w:div>
        <w:div w:id="1937134644">
          <w:marLeft w:val="0"/>
          <w:marRight w:val="0"/>
          <w:marTop w:val="0"/>
          <w:marBottom w:val="0"/>
          <w:divBdr>
            <w:top w:val="none" w:sz="0" w:space="0" w:color="auto"/>
            <w:left w:val="none" w:sz="0" w:space="0" w:color="auto"/>
            <w:bottom w:val="none" w:sz="0" w:space="0" w:color="auto"/>
            <w:right w:val="none" w:sz="0" w:space="0" w:color="auto"/>
          </w:divBdr>
        </w:div>
        <w:div w:id="2018576692">
          <w:marLeft w:val="0"/>
          <w:marRight w:val="0"/>
          <w:marTop w:val="0"/>
          <w:marBottom w:val="0"/>
          <w:divBdr>
            <w:top w:val="none" w:sz="0" w:space="0" w:color="auto"/>
            <w:left w:val="none" w:sz="0" w:space="0" w:color="auto"/>
            <w:bottom w:val="none" w:sz="0" w:space="0" w:color="auto"/>
            <w:right w:val="none" w:sz="0" w:space="0" w:color="auto"/>
          </w:divBdr>
        </w:div>
        <w:div w:id="184946572">
          <w:marLeft w:val="0"/>
          <w:marRight w:val="0"/>
          <w:marTop w:val="0"/>
          <w:marBottom w:val="0"/>
          <w:divBdr>
            <w:top w:val="none" w:sz="0" w:space="0" w:color="auto"/>
            <w:left w:val="none" w:sz="0" w:space="0" w:color="auto"/>
            <w:bottom w:val="none" w:sz="0" w:space="0" w:color="auto"/>
            <w:right w:val="none" w:sz="0" w:space="0" w:color="auto"/>
          </w:divBdr>
        </w:div>
        <w:div w:id="169759046">
          <w:marLeft w:val="0"/>
          <w:marRight w:val="0"/>
          <w:marTop w:val="0"/>
          <w:marBottom w:val="0"/>
          <w:divBdr>
            <w:top w:val="none" w:sz="0" w:space="0" w:color="auto"/>
            <w:left w:val="none" w:sz="0" w:space="0" w:color="auto"/>
            <w:bottom w:val="none" w:sz="0" w:space="0" w:color="auto"/>
            <w:right w:val="none" w:sz="0" w:space="0" w:color="auto"/>
          </w:divBdr>
        </w:div>
        <w:div w:id="137576649">
          <w:marLeft w:val="0"/>
          <w:marRight w:val="0"/>
          <w:marTop w:val="0"/>
          <w:marBottom w:val="0"/>
          <w:divBdr>
            <w:top w:val="none" w:sz="0" w:space="0" w:color="auto"/>
            <w:left w:val="none" w:sz="0" w:space="0" w:color="auto"/>
            <w:bottom w:val="none" w:sz="0" w:space="0" w:color="auto"/>
            <w:right w:val="none" w:sz="0" w:space="0" w:color="auto"/>
          </w:divBdr>
        </w:div>
      </w:divsChild>
    </w:div>
    <w:div w:id="1923492584">
      <w:bodyDiv w:val="1"/>
      <w:marLeft w:val="0"/>
      <w:marRight w:val="0"/>
      <w:marTop w:val="0"/>
      <w:marBottom w:val="0"/>
      <w:divBdr>
        <w:top w:val="none" w:sz="0" w:space="0" w:color="auto"/>
        <w:left w:val="none" w:sz="0" w:space="0" w:color="auto"/>
        <w:bottom w:val="none" w:sz="0" w:space="0" w:color="auto"/>
        <w:right w:val="none" w:sz="0" w:space="0" w:color="auto"/>
      </w:divBdr>
    </w:div>
    <w:div w:id="1951037872">
      <w:bodyDiv w:val="1"/>
      <w:marLeft w:val="0"/>
      <w:marRight w:val="0"/>
      <w:marTop w:val="0"/>
      <w:marBottom w:val="0"/>
      <w:divBdr>
        <w:top w:val="none" w:sz="0" w:space="0" w:color="auto"/>
        <w:left w:val="none" w:sz="0" w:space="0" w:color="auto"/>
        <w:bottom w:val="none" w:sz="0" w:space="0" w:color="auto"/>
        <w:right w:val="none" w:sz="0" w:space="0" w:color="auto"/>
      </w:divBdr>
    </w:div>
    <w:div w:id="1975673758">
      <w:bodyDiv w:val="1"/>
      <w:marLeft w:val="0"/>
      <w:marRight w:val="0"/>
      <w:marTop w:val="0"/>
      <w:marBottom w:val="0"/>
      <w:divBdr>
        <w:top w:val="none" w:sz="0" w:space="0" w:color="auto"/>
        <w:left w:val="none" w:sz="0" w:space="0" w:color="auto"/>
        <w:bottom w:val="none" w:sz="0" w:space="0" w:color="auto"/>
        <w:right w:val="none" w:sz="0" w:space="0" w:color="auto"/>
      </w:divBdr>
    </w:div>
    <w:div w:id="1997998006">
      <w:bodyDiv w:val="1"/>
      <w:marLeft w:val="0"/>
      <w:marRight w:val="0"/>
      <w:marTop w:val="0"/>
      <w:marBottom w:val="0"/>
      <w:divBdr>
        <w:top w:val="none" w:sz="0" w:space="0" w:color="auto"/>
        <w:left w:val="none" w:sz="0" w:space="0" w:color="auto"/>
        <w:bottom w:val="none" w:sz="0" w:space="0" w:color="auto"/>
        <w:right w:val="none" w:sz="0" w:space="0" w:color="auto"/>
      </w:divBdr>
    </w:div>
    <w:div w:id="204940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72DEA6764A5E469BCA557C9C5B9428" ma:contentTypeVersion="18" ma:contentTypeDescription="Create a new document." ma:contentTypeScope="" ma:versionID="b8446afb928619230ebfeafb42d9db43">
  <xsd:schema xmlns:xsd="http://www.w3.org/2001/XMLSchema" xmlns:xs="http://www.w3.org/2001/XMLSchema" xmlns:p="http://schemas.microsoft.com/office/2006/metadata/properties" xmlns:ns2="d9731e62-6862-426f-b4c0-a3c581ced353" xmlns:ns3="82306f73-274f-4edf-93f0-3946c3462ddd" targetNamespace="http://schemas.microsoft.com/office/2006/metadata/properties" ma:root="true" ma:fieldsID="a3de90a56f862ac513b09d28720520ee" ns2:_="" ns3:_="">
    <xsd:import namespace="d9731e62-6862-426f-b4c0-a3c581ced353"/>
    <xsd:import namespace="82306f73-274f-4edf-93f0-3946c3462d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31e62-6862-426f-b4c0-a3c581ced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7bf049-79e0-4458-bfc8-87e433a75c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306f73-274f-4edf-93f0-3946c3462dd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75ba75-9629-470e-9673-35c54f9f7030}" ma:internalName="TaxCatchAll" ma:showField="CatchAllData" ma:web="82306f73-274f-4edf-93f0-3946c3462d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2306f73-274f-4edf-93f0-3946c3462ddd" xsi:nil="true"/>
    <lcf76f155ced4ddcb4097134ff3c332f xmlns="d9731e62-6862-426f-b4c0-a3c581ced353">
      <Terms xmlns="http://schemas.microsoft.com/office/infopath/2007/PartnerControls"/>
    </lcf76f155ced4ddcb4097134ff3c332f>
    <SharedWithUsers xmlns="82306f73-274f-4edf-93f0-3946c3462ddd">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3564E4-077D-490E-AA80-C8178C5DAAD3}"/>
</file>

<file path=customXml/itemProps2.xml><?xml version="1.0" encoding="utf-8"?>
<ds:datastoreItem xmlns:ds="http://schemas.openxmlformats.org/officeDocument/2006/customXml" ds:itemID="{665777F6-F1E4-40C0-B4C4-FF938DBAE367}">
  <ds:schemaRefs>
    <ds:schemaRef ds:uri="http://schemas.openxmlformats.org/officeDocument/2006/bibliography"/>
  </ds:schemaRefs>
</ds:datastoreItem>
</file>

<file path=customXml/itemProps3.xml><?xml version="1.0" encoding="utf-8"?>
<ds:datastoreItem xmlns:ds="http://schemas.openxmlformats.org/officeDocument/2006/customXml" ds:itemID="{97C62EC9-94FC-481D-8040-0869C5ADC449}">
  <ds:schemaRefs>
    <ds:schemaRef ds:uri="http://schemas.microsoft.com/office/2006/metadata/properties"/>
    <ds:schemaRef ds:uri="http://schemas.microsoft.com/office/infopath/2007/PartnerControls"/>
    <ds:schemaRef ds:uri="e28edf13-f623-4bcb-af2f-300376b380e3"/>
    <ds:schemaRef ds:uri="5772d226-fb2a-4ee0-bab6-ec3129ec478f"/>
  </ds:schemaRefs>
</ds:datastoreItem>
</file>

<file path=customXml/itemProps4.xml><?xml version="1.0" encoding="utf-8"?>
<ds:datastoreItem xmlns:ds="http://schemas.openxmlformats.org/officeDocument/2006/customXml" ds:itemID="{853D66EB-336F-4EEC-936E-8A7DB86353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1519</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Belfast Metropolitan College Audit and Risk Committee</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Moran (RMoran)</dc:creator>
  <cp:keywords/>
  <dc:description/>
  <cp:lastModifiedBy>Andrea Browne (AndreaBrowne)</cp:lastModifiedBy>
  <cp:revision>11</cp:revision>
  <cp:lastPrinted>2024-06-06T15:56:00Z</cp:lastPrinted>
  <dcterms:created xsi:type="dcterms:W3CDTF">2024-06-11T11:25:00Z</dcterms:created>
  <dcterms:modified xsi:type="dcterms:W3CDTF">2024-07-31T14:25:00Z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0x0101004BBB579C44DBA04885837FB51E368F9D</vt:lpwstr>
  </property>
  <property fmtid="{D5CDD505-2E9C-101B-9397-08002B2CF9AE}" pid="3" name="Order">
    <vt:r8>2359300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