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B868" w14:textId="77777777" w:rsidR="00A67F32" w:rsidRPr="00E3447D" w:rsidRDefault="00A67F32" w:rsidP="00A67F32">
      <w:pPr>
        <w:tabs>
          <w:tab w:val="left" w:pos="6466"/>
        </w:tabs>
        <w:spacing w:after="0"/>
        <w:ind w:left="6804"/>
        <w:rPr>
          <w:b/>
          <w:bCs/>
          <w:color w:val="806000" w:themeColor="accent4" w:themeShade="80"/>
          <w:sz w:val="32"/>
          <w:szCs w:val="32"/>
        </w:rPr>
      </w:pPr>
      <w:r w:rsidRPr="00E3447D">
        <w:rPr>
          <w:rFonts w:ascii="Times New Roman" w:eastAsia="Times New Roman" w:hAnsi="Times New Roman"/>
          <w:b/>
          <w:bCs/>
          <w:noProof/>
          <w:color w:val="806000" w:themeColor="accent4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D20CD4" wp14:editId="474300D9">
            <wp:simplePos x="0" y="0"/>
            <wp:positionH relativeFrom="margin">
              <wp:posOffset>2636520</wp:posOffset>
            </wp:positionH>
            <wp:positionV relativeFrom="paragraph">
              <wp:posOffset>-325717</wp:posOffset>
            </wp:positionV>
            <wp:extent cx="1553414" cy="1263143"/>
            <wp:effectExtent l="0" t="0" r="8890" b="0"/>
            <wp:wrapNone/>
            <wp:docPr id="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414" cy="126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47D">
        <w:rPr>
          <w:b/>
          <w:bCs/>
          <w:color w:val="806000" w:themeColor="accent4" w:themeShade="80"/>
          <w:sz w:val="32"/>
          <w:szCs w:val="32"/>
        </w:rPr>
        <w:t>Governing Body</w:t>
      </w:r>
    </w:p>
    <w:p w14:paraId="710B2A40" w14:textId="77777777" w:rsidR="00A67F32" w:rsidRPr="00E3447D" w:rsidRDefault="00A67F32" w:rsidP="00A67F32">
      <w:pPr>
        <w:spacing w:after="0"/>
        <w:jc w:val="right"/>
        <w:rPr>
          <w:b/>
          <w:bCs/>
          <w:color w:val="806000" w:themeColor="accent4" w:themeShade="80"/>
          <w:sz w:val="32"/>
          <w:szCs w:val="32"/>
        </w:rPr>
      </w:pPr>
      <w:r w:rsidRPr="00E3447D">
        <w:rPr>
          <w:b/>
          <w:bCs/>
          <w:color w:val="806000" w:themeColor="accent4" w:themeShade="80"/>
          <w:sz w:val="32"/>
          <w:szCs w:val="32"/>
        </w:rPr>
        <w:t xml:space="preserve">Human Resources </w:t>
      </w:r>
    </w:p>
    <w:p w14:paraId="0314DCA8" w14:textId="4823F435" w:rsidR="00103857" w:rsidRPr="00E3447D" w:rsidRDefault="00A67F32" w:rsidP="00A67F32">
      <w:pPr>
        <w:jc w:val="right"/>
        <w:rPr>
          <w:b/>
          <w:bCs/>
          <w:color w:val="806000" w:themeColor="accent4" w:themeShade="80"/>
          <w:sz w:val="32"/>
          <w:szCs w:val="32"/>
        </w:rPr>
      </w:pPr>
      <w:r w:rsidRPr="00E3447D">
        <w:rPr>
          <w:b/>
          <w:bCs/>
          <w:color w:val="806000" w:themeColor="accent4" w:themeShade="80"/>
          <w:sz w:val="32"/>
          <w:szCs w:val="32"/>
        </w:rPr>
        <w:t>Committee</w:t>
      </w:r>
    </w:p>
    <w:p w14:paraId="265C7D42" w14:textId="453E04F3" w:rsidR="00A67F32" w:rsidRDefault="00A67F32" w:rsidP="00A67F32">
      <w:pPr>
        <w:jc w:val="right"/>
        <w:rPr>
          <w:b/>
          <w:bCs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A67F32" w:rsidRPr="00CE0F51" w14:paraId="6442F3EB" w14:textId="77777777" w:rsidTr="00E3447D">
        <w:trPr>
          <w:trHeight w:val="675"/>
        </w:trPr>
        <w:tc>
          <w:tcPr>
            <w:tcW w:w="9640" w:type="dxa"/>
            <w:shd w:val="clear" w:color="auto" w:fill="BF8F00" w:themeFill="accent4" w:themeFillShade="BF"/>
          </w:tcPr>
          <w:p w14:paraId="61B924DF" w14:textId="210CD5E5" w:rsidR="00A67F32" w:rsidRDefault="00A67F32" w:rsidP="001F53BE">
            <w:pPr>
              <w:rPr>
                <w:b/>
              </w:rPr>
            </w:pPr>
            <w:r w:rsidRPr="00CE0F51">
              <w:rPr>
                <w:b/>
              </w:rPr>
              <w:t xml:space="preserve">Belfast Metropolitan </w:t>
            </w:r>
            <w:r>
              <w:rPr>
                <w:b/>
              </w:rPr>
              <w:t xml:space="preserve">College Human Resources Committee 3pm Monday </w:t>
            </w:r>
            <w:r w:rsidR="00095E26">
              <w:rPr>
                <w:b/>
              </w:rPr>
              <w:t>4 December</w:t>
            </w:r>
            <w:r w:rsidR="009A31F8">
              <w:rPr>
                <w:b/>
              </w:rPr>
              <w:t xml:space="preserve"> </w:t>
            </w:r>
            <w:r>
              <w:rPr>
                <w:b/>
              </w:rPr>
              <w:t xml:space="preserve">2023 in TQ Board Room and via MS Teams </w:t>
            </w:r>
            <w:r w:rsidR="00D93965">
              <w:rPr>
                <w:b/>
              </w:rPr>
              <w:t>MINUTES</w:t>
            </w:r>
            <w:r w:rsidR="00D96EF5">
              <w:rPr>
                <w:b/>
              </w:rPr>
              <w:t xml:space="preserve"> </w:t>
            </w:r>
            <w:r w:rsidR="001E1D86">
              <w:rPr>
                <w:b/>
              </w:rPr>
              <w:t>FINAL approved 11 March 2024</w:t>
            </w:r>
          </w:p>
          <w:p w14:paraId="7E0A17E0" w14:textId="10BDF052" w:rsidR="00D93965" w:rsidRPr="00CE0F51" w:rsidRDefault="00D93965" w:rsidP="001F53BE">
            <w:pPr>
              <w:rPr>
                <w:b/>
              </w:rPr>
            </w:pPr>
          </w:p>
        </w:tc>
      </w:tr>
      <w:tr w:rsidR="00A67F32" w:rsidRPr="00CE0F51" w14:paraId="6F84342A" w14:textId="77777777" w:rsidTr="00E3447D">
        <w:tc>
          <w:tcPr>
            <w:tcW w:w="9640" w:type="dxa"/>
          </w:tcPr>
          <w:p w14:paraId="77946ED6" w14:textId="52500806" w:rsidR="00A67F32" w:rsidRPr="00012091" w:rsidRDefault="00A67F32" w:rsidP="001F53BE">
            <w:pPr>
              <w:rPr>
                <w:rFonts w:asciiTheme="minorHAnsi" w:hAnsiTheme="minorHAnsi" w:cstheme="minorHAnsi"/>
              </w:rPr>
            </w:pPr>
            <w:r w:rsidRPr="00CE0F51">
              <w:rPr>
                <w:b/>
              </w:rPr>
              <w:t xml:space="preserve">Committee Members:  </w:t>
            </w:r>
            <w:r w:rsidRPr="004F7C7D">
              <w:rPr>
                <w:bCs/>
              </w:rPr>
              <w:t>Lauren McAteer</w:t>
            </w:r>
            <w:r>
              <w:rPr>
                <w:rFonts w:asciiTheme="minorHAnsi" w:hAnsiTheme="minorHAnsi" w:cstheme="minorHAnsi"/>
              </w:rPr>
              <w:t xml:space="preserve"> (Chair); Sam Snodden;</w:t>
            </w:r>
            <w:r w:rsidR="009A31F8">
              <w:rPr>
                <w:rFonts w:asciiTheme="minorHAnsi" w:hAnsiTheme="minorHAnsi" w:cstheme="minorHAnsi"/>
              </w:rPr>
              <w:t xml:space="preserve"> </w:t>
            </w:r>
            <w:r w:rsidR="00F05E38">
              <w:rPr>
                <w:rFonts w:asciiTheme="minorHAnsi" w:hAnsiTheme="minorHAnsi" w:cstheme="minorHAnsi"/>
              </w:rPr>
              <w:t xml:space="preserve">Seamus McGoran; </w:t>
            </w:r>
            <w:r w:rsidR="003936C8">
              <w:rPr>
                <w:rFonts w:asciiTheme="minorHAnsi" w:hAnsiTheme="minorHAnsi" w:cstheme="minorHAnsi"/>
              </w:rPr>
              <w:t>Sinead Sharpe; Sheena McKinney; Rose Byrne;</w:t>
            </w:r>
            <w:r w:rsidR="009A31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Louise Warde Hunter, Principal and Chief Executive.</w:t>
            </w:r>
          </w:p>
          <w:p w14:paraId="146CFA3C" w14:textId="77777777" w:rsidR="00A67F32" w:rsidRPr="00CE0F51" w:rsidRDefault="00A67F32" w:rsidP="001F53BE">
            <w:pPr>
              <w:rPr>
                <w:b/>
              </w:rPr>
            </w:pPr>
          </w:p>
          <w:p w14:paraId="33C89841" w14:textId="796BD082" w:rsidR="00A67F32" w:rsidRPr="00CE0F51" w:rsidRDefault="00A67F32" w:rsidP="001F53BE">
            <w:pPr>
              <w:rPr>
                <w:b/>
              </w:rPr>
            </w:pPr>
            <w:r w:rsidRPr="00CE0F51">
              <w:rPr>
                <w:b/>
              </w:rPr>
              <w:t xml:space="preserve">Management: </w:t>
            </w:r>
            <w:r w:rsidR="009A31F8" w:rsidRPr="001034F4">
              <w:rPr>
                <w:bCs/>
              </w:rPr>
              <w:t xml:space="preserve">Aidan Sloane, </w:t>
            </w:r>
            <w:r w:rsidR="00B122F2">
              <w:rPr>
                <w:bCs/>
              </w:rPr>
              <w:t>Chief Operating Officer</w:t>
            </w:r>
            <w:r w:rsidR="009A31F8" w:rsidRPr="001034F4">
              <w:rPr>
                <w:bCs/>
              </w:rPr>
              <w:t xml:space="preserve"> (</w:t>
            </w:r>
            <w:r w:rsidR="00B122F2">
              <w:rPr>
                <w:bCs/>
              </w:rPr>
              <w:t>COO</w:t>
            </w:r>
            <w:r w:rsidR="009A31F8" w:rsidRPr="001034F4">
              <w:rPr>
                <w:bCs/>
              </w:rPr>
              <w:t>);</w:t>
            </w:r>
            <w:r w:rsidR="009A31F8">
              <w:rPr>
                <w:b/>
              </w:rPr>
              <w:t xml:space="preserve"> </w:t>
            </w:r>
            <w:r>
              <w:t>Stephanie McCormack, Head of Human Resources (HHR)</w:t>
            </w:r>
          </w:p>
          <w:p w14:paraId="3185C1E4" w14:textId="77777777" w:rsidR="00A67F32" w:rsidRDefault="00A67F32" w:rsidP="001F53BE">
            <w:pPr>
              <w:rPr>
                <w:b/>
              </w:rPr>
            </w:pPr>
          </w:p>
          <w:p w14:paraId="736C1E38" w14:textId="6350B787" w:rsidR="00A67F32" w:rsidRPr="00CE0F51" w:rsidRDefault="00A67F32" w:rsidP="001F53BE">
            <w:r w:rsidRPr="00CE0F51">
              <w:rPr>
                <w:b/>
              </w:rPr>
              <w:t xml:space="preserve">Clerk to the Governing Body: </w:t>
            </w:r>
            <w:r w:rsidR="00A56CCD" w:rsidRPr="00A56CCD">
              <w:rPr>
                <w:bCs/>
              </w:rPr>
              <w:t>Andrea Brown</w:t>
            </w:r>
            <w:r w:rsidR="007C2392">
              <w:rPr>
                <w:bCs/>
              </w:rPr>
              <w:t>e</w:t>
            </w:r>
            <w:r w:rsidR="00A56CCD" w:rsidRPr="00A56CCD">
              <w:rPr>
                <w:bCs/>
              </w:rPr>
              <w:t xml:space="preserve"> (in absence of </w:t>
            </w:r>
            <w:r w:rsidRPr="00A56CCD">
              <w:rPr>
                <w:bCs/>
              </w:rPr>
              <w:t>Gerry Crossan</w:t>
            </w:r>
            <w:r w:rsidR="00A56CCD" w:rsidRPr="00A56CCD">
              <w:rPr>
                <w:bCs/>
              </w:rPr>
              <w:t>)</w:t>
            </w:r>
          </w:p>
          <w:p w14:paraId="15D034BF" w14:textId="77777777" w:rsidR="00A67F32" w:rsidRPr="00CE0F51" w:rsidRDefault="00A67F32" w:rsidP="001F53BE">
            <w:pPr>
              <w:rPr>
                <w:b/>
              </w:rPr>
            </w:pPr>
          </w:p>
        </w:tc>
      </w:tr>
    </w:tbl>
    <w:p w14:paraId="13556892" w14:textId="4E996CEC" w:rsidR="00A67F32" w:rsidRDefault="00A67F32" w:rsidP="00A67F32">
      <w:pPr>
        <w:jc w:val="both"/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844"/>
        <w:gridCol w:w="7796"/>
      </w:tblGrid>
      <w:tr w:rsidR="002F432A" w:rsidRPr="00696BE4" w14:paraId="79F470D6" w14:textId="77777777" w:rsidTr="001F53BE">
        <w:trPr>
          <w:tblHeader/>
        </w:trPr>
        <w:tc>
          <w:tcPr>
            <w:tcW w:w="9640" w:type="dxa"/>
            <w:gridSpan w:val="2"/>
            <w:shd w:val="clear" w:color="auto" w:fill="BF8F00" w:themeFill="accent4" w:themeFillShade="BF"/>
          </w:tcPr>
          <w:p w14:paraId="11656586" w14:textId="77A163AF" w:rsidR="002F432A" w:rsidRPr="00696BE4" w:rsidRDefault="002F432A" w:rsidP="001F53BE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A67F32" w:rsidRPr="00CE0F51" w14:paraId="779BBF5B" w14:textId="77777777" w:rsidTr="00B071A0">
        <w:tc>
          <w:tcPr>
            <w:tcW w:w="1844" w:type="dxa"/>
          </w:tcPr>
          <w:p w14:paraId="29C5B57B" w14:textId="5A694F4F" w:rsidR="00A67F32" w:rsidRDefault="00A67F32" w:rsidP="001F53BE">
            <w:pPr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2604B4">
              <w:rPr>
                <w:b/>
                <w:color w:val="1F4E79" w:themeColor="accent5" w:themeShade="80"/>
              </w:rPr>
              <w:t>12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1034F4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1034F4">
              <w:rPr>
                <w:b/>
                <w:color w:val="1F4E79" w:themeColor="accent5" w:themeShade="80"/>
              </w:rPr>
              <w:t>4</w:t>
            </w:r>
          </w:p>
          <w:p w14:paraId="20D00627" w14:textId="77777777" w:rsidR="00A67F32" w:rsidRDefault="00A67F32" w:rsidP="001F53BE">
            <w:pPr>
              <w:rPr>
                <w:b/>
                <w:color w:val="1F4E79" w:themeColor="accent5" w:themeShade="80"/>
              </w:rPr>
            </w:pPr>
          </w:p>
          <w:p w14:paraId="4871D6B0" w14:textId="77777777" w:rsidR="00A67F32" w:rsidRPr="006C3034" w:rsidRDefault="00A67F32" w:rsidP="001F53BE">
            <w:pPr>
              <w:rPr>
                <w:b/>
              </w:rPr>
            </w:pPr>
          </w:p>
          <w:p w14:paraId="5245E9EA" w14:textId="77777777" w:rsidR="00A67F32" w:rsidRPr="002E27B3" w:rsidRDefault="00A67F32" w:rsidP="001F53BE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7796" w:type="dxa"/>
          </w:tcPr>
          <w:p w14:paraId="5F2B96E3" w14:textId="77777777" w:rsidR="00A67F32" w:rsidRPr="00CE0F51" w:rsidRDefault="00A67F32" w:rsidP="001F53BE">
            <w:pPr>
              <w:rPr>
                <w:rFonts w:cs="Arial"/>
                <w:b/>
              </w:rPr>
            </w:pPr>
            <w:r w:rsidRPr="00CE0F51">
              <w:rPr>
                <w:rFonts w:cs="Arial"/>
                <w:b/>
              </w:rPr>
              <w:t>Quorum,</w:t>
            </w:r>
            <w:r>
              <w:rPr>
                <w:rFonts w:cs="Arial"/>
                <w:b/>
              </w:rPr>
              <w:t xml:space="preserve"> Apologies, Welcome, Conflicts of Interest, </w:t>
            </w:r>
            <w:r w:rsidRPr="00CE0F51">
              <w:rPr>
                <w:rFonts w:cs="Arial"/>
                <w:b/>
              </w:rPr>
              <w:t>Notice of AOB</w:t>
            </w:r>
            <w:r>
              <w:rPr>
                <w:rFonts w:cs="Arial"/>
                <w:b/>
              </w:rPr>
              <w:t xml:space="preserve"> and Leadership Culture</w:t>
            </w:r>
          </w:p>
          <w:p w14:paraId="26487D59" w14:textId="77777777" w:rsidR="00A67F32" w:rsidRPr="00CE0F51" w:rsidRDefault="00A67F32" w:rsidP="001F53BE">
            <w:pPr>
              <w:rPr>
                <w:rFonts w:cs="Arial"/>
                <w:b/>
              </w:rPr>
            </w:pPr>
            <w:r w:rsidRPr="00CE0F51">
              <w:rPr>
                <w:rFonts w:cs="Arial"/>
                <w:b/>
              </w:rPr>
              <w:t xml:space="preserve">  </w:t>
            </w:r>
          </w:p>
          <w:p w14:paraId="45FD94FA" w14:textId="661C089F" w:rsidR="00A67F32" w:rsidRPr="00156FFC" w:rsidRDefault="00A67F32" w:rsidP="001F53BE">
            <w:pPr>
              <w:rPr>
                <w:rFonts w:cs="Arial"/>
                <w:bCs/>
              </w:rPr>
            </w:pPr>
            <w:r w:rsidRPr="00CE0F51">
              <w:rPr>
                <w:rFonts w:cs="Arial"/>
                <w:b/>
              </w:rPr>
              <w:t>Quorum</w:t>
            </w:r>
            <w:r w:rsidRPr="00CE0F51">
              <w:rPr>
                <w:rFonts w:cs="Arial"/>
              </w:rPr>
              <w:t>:  The meeting</w:t>
            </w:r>
            <w:r>
              <w:rPr>
                <w:rFonts w:cs="Arial"/>
              </w:rPr>
              <w:t xml:space="preserve"> </w:t>
            </w:r>
            <w:r w:rsidR="00C5565A">
              <w:rPr>
                <w:rFonts w:cs="Arial"/>
              </w:rPr>
              <w:t xml:space="preserve">was </w:t>
            </w:r>
            <w:r w:rsidRPr="00CE0F51">
              <w:rPr>
                <w:rFonts w:cs="Arial"/>
              </w:rPr>
              <w:t xml:space="preserve">quorate under the terms of </w:t>
            </w:r>
            <w:r>
              <w:rPr>
                <w:rFonts w:cs="Arial"/>
              </w:rPr>
              <w:t>Section</w:t>
            </w:r>
            <w:r w:rsidRPr="00CE0F5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6.2 </w:t>
            </w:r>
            <w:r w:rsidRPr="00CE0F51">
              <w:rPr>
                <w:rFonts w:cs="Arial"/>
              </w:rPr>
              <w:t>of the</w:t>
            </w:r>
            <w:r>
              <w:rPr>
                <w:rFonts w:cs="Arial"/>
              </w:rPr>
              <w:t xml:space="preserve"> Terms of Reference for the Human Resource Committee </w:t>
            </w:r>
            <w:r>
              <w:t xml:space="preserve">(approved </w:t>
            </w:r>
            <w:r w:rsidRPr="00156FFC">
              <w:rPr>
                <w:b/>
              </w:rPr>
              <w:t>GB81a 21/22 22 June 2022)</w:t>
            </w:r>
            <w:r w:rsidRPr="00156FFC">
              <w:rPr>
                <w:rFonts w:cs="Arial"/>
                <w:b/>
              </w:rPr>
              <w:t xml:space="preserve"> (2 Governors).</w:t>
            </w:r>
          </w:p>
          <w:p w14:paraId="2C4905E6" w14:textId="77777777" w:rsidR="00A67F32" w:rsidRDefault="00A67F32" w:rsidP="001F53BE">
            <w:pPr>
              <w:rPr>
                <w:rFonts w:cs="Arial"/>
                <w:b/>
              </w:rPr>
            </w:pPr>
          </w:p>
          <w:p w14:paraId="0874228C" w14:textId="5DD61A62" w:rsidR="00A67F32" w:rsidRPr="001034F4" w:rsidRDefault="00A67F32" w:rsidP="001F53BE">
            <w:pPr>
              <w:rPr>
                <w:rFonts w:cs="Arial"/>
                <w:bCs/>
              </w:rPr>
            </w:pPr>
            <w:r w:rsidRPr="00CE0F51">
              <w:rPr>
                <w:rFonts w:cs="Arial"/>
                <w:b/>
              </w:rPr>
              <w:t>Apologies:</w:t>
            </w:r>
            <w:r>
              <w:rPr>
                <w:rFonts w:cs="Arial"/>
                <w:b/>
              </w:rPr>
              <w:t xml:space="preserve"> </w:t>
            </w:r>
            <w:r w:rsidR="00095E26">
              <w:rPr>
                <w:rFonts w:cs="Arial"/>
                <w:bCs/>
              </w:rPr>
              <w:t xml:space="preserve">Received from </w:t>
            </w:r>
            <w:r w:rsidR="00AA642D">
              <w:rPr>
                <w:rFonts w:cs="Arial"/>
                <w:bCs/>
              </w:rPr>
              <w:t>Seamus McGoran</w:t>
            </w:r>
            <w:r w:rsidR="00D96EF5">
              <w:rPr>
                <w:rFonts w:cs="Arial"/>
                <w:bCs/>
              </w:rPr>
              <w:t xml:space="preserve">, </w:t>
            </w:r>
            <w:r w:rsidR="00592A38">
              <w:rPr>
                <w:rFonts w:cs="Arial"/>
                <w:bCs/>
              </w:rPr>
              <w:t>Sinead Sharpe, Aidan Sloane.</w:t>
            </w:r>
          </w:p>
          <w:p w14:paraId="6A5E0E1A" w14:textId="77777777" w:rsidR="00A67F32" w:rsidRDefault="00A67F32" w:rsidP="001F53BE">
            <w:pPr>
              <w:rPr>
                <w:rFonts w:cs="Arial"/>
                <w:bCs/>
              </w:rPr>
            </w:pPr>
          </w:p>
          <w:p w14:paraId="354FF2F5" w14:textId="66AA1082" w:rsidR="00A67F32" w:rsidRPr="00AB6E1A" w:rsidRDefault="00A67F32" w:rsidP="001F53BE">
            <w:pPr>
              <w:rPr>
                <w:rFonts w:cs="Arial"/>
              </w:rPr>
            </w:pPr>
            <w:r w:rsidRPr="0037254F">
              <w:rPr>
                <w:rFonts w:cs="Arial"/>
                <w:b/>
              </w:rPr>
              <w:t>Welcome</w:t>
            </w:r>
            <w:r>
              <w:rPr>
                <w:rFonts w:cs="Arial"/>
                <w:bCs/>
              </w:rPr>
              <w:t xml:space="preserve">: </w:t>
            </w:r>
            <w:r w:rsidR="002E744A">
              <w:rPr>
                <w:rFonts w:cs="Arial"/>
                <w:bCs/>
              </w:rPr>
              <w:t xml:space="preserve"> </w:t>
            </w:r>
            <w:r w:rsidR="00810B16">
              <w:rPr>
                <w:rFonts w:cs="Arial"/>
                <w:bCs/>
              </w:rPr>
              <w:t>No new attendees.</w:t>
            </w:r>
          </w:p>
          <w:p w14:paraId="57286FFA" w14:textId="77777777" w:rsidR="00A67F32" w:rsidRPr="00AB6E1A" w:rsidRDefault="00A67F32" w:rsidP="001F53BE">
            <w:pPr>
              <w:rPr>
                <w:rFonts w:cs="Arial"/>
              </w:rPr>
            </w:pPr>
          </w:p>
          <w:p w14:paraId="455CB4E5" w14:textId="0A212EB8" w:rsidR="00A67F32" w:rsidRPr="00CE0F51" w:rsidRDefault="00A67F32" w:rsidP="001F53BE">
            <w:pPr>
              <w:pStyle w:val="NoSpacing"/>
              <w:ind w:right="-108"/>
              <w:rPr>
                <w:rFonts w:cs="Calibri"/>
              </w:rPr>
            </w:pPr>
            <w:r w:rsidRPr="00CE0F51">
              <w:rPr>
                <w:rFonts w:cs="Calibri"/>
                <w:b/>
              </w:rPr>
              <w:t>Conflicts of Interest</w:t>
            </w:r>
            <w:r w:rsidRPr="00CE0F51">
              <w:rPr>
                <w:rFonts w:cs="Calibri"/>
              </w:rPr>
              <w:t>:</w:t>
            </w:r>
            <w:r w:rsidR="002827CA">
              <w:rPr>
                <w:rFonts w:cs="Calibri"/>
              </w:rPr>
              <w:t xml:space="preserve"> </w:t>
            </w:r>
            <w:r w:rsidR="00975860">
              <w:rPr>
                <w:rFonts w:cs="Calibri"/>
              </w:rPr>
              <w:t>There were no</w:t>
            </w:r>
            <w:r w:rsidRPr="00CE0F51">
              <w:rPr>
                <w:rFonts w:cs="Calibri"/>
              </w:rPr>
              <w:t xml:space="preserve"> </w:t>
            </w:r>
            <w:r w:rsidRPr="00DD45AD">
              <w:rPr>
                <w:rFonts w:cs="Calibri"/>
                <w:b/>
              </w:rPr>
              <w:t xml:space="preserve">perceived, </w:t>
            </w:r>
            <w:proofErr w:type="gramStart"/>
            <w:r w:rsidRPr="00DD45AD">
              <w:rPr>
                <w:rFonts w:cs="Calibri"/>
                <w:b/>
              </w:rPr>
              <w:t>potential</w:t>
            </w:r>
            <w:proofErr w:type="gramEnd"/>
            <w:r w:rsidRPr="00DD45AD">
              <w:rPr>
                <w:rFonts w:cs="Calibri"/>
                <w:b/>
              </w:rPr>
              <w:t xml:space="preserve"> or actual</w:t>
            </w:r>
            <w:r>
              <w:rPr>
                <w:rFonts w:cs="Calibri"/>
              </w:rPr>
              <w:t xml:space="preserve"> </w:t>
            </w:r>
            <w:r w:rsidRPr="00CE0F51">
              <w:rPr>
                <w:rFonts w:cs="Calibri"/>
              </w:rPr>
              <w:t xml:space="preserve">conflicts of interest </w:t>
            </w:r>
            <w:r w:rsidR="00975860">
              <w:rPr>
                <w:rFonts w:cs="Calibri"/>
              </w:rPr>
              <w:t xml:space="preserve">declared </w:t>
            </w:r>
            <w:r w:rsidRPr="00CE0F51">
              <w:rPr>
                <w:rFonts w:cs="Calibri"/>
              </w:rPr>
              <w:t xml:space="preserve">under the terms of </w:t>
            </w:r>
            <w:r>
              <w:rPr>
                <w:rFonts w:cs="Calibri"/>
              </w:rPr>
              <w:t>Section 8</w:t>
            </w:r>
            <w:r w:rsidRPr="00CE0F51">
              <w:rPr>
                <w:rFonts w:cs="Calibri"/>
              </w:rPr>
              <w:t xml:space="preserve">.1 of the Belfast Metropolitan College Governing Body Standing Orders </w:t>
            </w:r>
            <w:r w:rsidRPr="00156FFC">
              <w:rPr>
                <w:rFonts w:cs="Calibri"/>
              </w:rPr>
              <w:t xml:space="preserve">V5 dated </w:t>
            </w:r>
            <w:r>
              <w:rPr>
                <w:rFonts w:cs="Calibri"/>
              </w:rPr>
              <w:t xml:space="preserve">June </w:t>
            </w:r>
            <w:r w:rsidRPr="00156FFC">
              <w:rPr>
                <w:rFonts w:cs="Calibri"/>
              </w:rPr>
              <w:t>2022 (GB81a 21/22 22 June 2022)</w:t>
            </w:r>
            <w:r w:rsidR="002827CA" w:rsidRPr="00156FFC">
              <w:rPr>
                <w:rFonts w:cs="Calibri"/>
              </w:rPr>
              <w:t>.</w:t>
            </w:r>
          </w:p>
          <w:p w14:paraId="10947E53" w14:textId="77777777" w:rsidR="00A67F32" w:rsidRPr="00CE0F51" w:rsidRDefault="00A67F32" w:rsidP="001F53BE">
            <w:pPr>
              <w:rPr>
                <w:rFonts w:cs="Arial"/>
              </w:rPr>
            </w:pPr>
          </w:p>
          <w:p w14:paraId="2BBEF46B" w14:textId="13FCFE20" w:rsidR="00A67F32" w:rsidRPr="00AB6E1A" w:rsidRDefault="00A67F32" w:rsidP="001F53BE">
            <w:pPr>
              <w:rPr>
                <w:rFonts w:cs="Arial"/>
              </w:rPr>
            </w:pPr>
            <w:r w:rsidRPr="00CE0F51">
              <w:rPr>
                <w:rFonts w:cs="Arial"/>
                <w:b/>
              </w:rPr>
              <w:t>AOB:</w:t>
            </w:r>
            <w:r w:rsidRPr="00CE0F51">
              <w:rPr>
                <w:rFonts w:cs="Arial"/>
              </w:rPr>
              <w:t xml:space="preserve"> No Items of A</w:t>
            </w:r>
            <w:r>
              <w:rPr>
                <w:rFonts w:cs="Arial"/>
              </w:rPr>
              <w:t>O</w:t>
            </w:r>
            <w:r w:rsidR="00975860">
              <w:rPr>
                <w:rFonts w:cs="Arial"/>
              </w:rPr>
              <w:t>B.</w:t>
            </w:r>
          </w:p>
          <w:p w14:paraId="57B38489" w14:textId="77777777" w:rsidR="00A67F32" w:rsidRPr="008B0573" w:rsidRDefault="00A67F32" w:rsidP="001F53BE">
            <w:pPr>
              <w:rPr>
                <w:rFonts w:cs="Arial"/>
              </w:rPr>
            </w:pPr>
          </w:p>
          <w:p w14:paraId="1CF0698B" w14:textId="6403E41C" w:rsidR="00A67F32" w:rsidRDefault="00A67F32" w:rsidP="001F53BE">
            <w:pPr>
              <w:rPr>
                <w:rFonts w:cstheme="minorHAnsi"/>
                <w:bCs/>
              </w:rPr>
            </w:pPr>
            <w:r>
              <w:rPr>
                <w:b/>
              </w:rPr>
              <w:t>Leadership Culture:</w:t>
            </w:r>
            <w:r>
              <w:t xml:space="preserve"> </w:t>
            </w:r>
            <w:r w:rsidR="00B23E1F">
              <w:t xml:space="preserve">The </w:t>
            </w:r>
            <w:r>
              <w:t>Chair</w:t>
            </w:r>
            <w:r w:rsidR="00B23E1F">
              <w:t xml:space="preserve"> </w:t>
            </w:r>
            <w:r w:rsidRPr="00A10BF5">
              <w:rPr>
                <w:b/>
                <w:bCs/>
                <w:u w:val="single"/>
              </w:rPr>
              <w:t>note</w:t>
            </w:r>
            <w:r w:rsidR="00975860">
              <w:rPr>
                <w:b/>
                <w:bCs/>
                <w:u w:val="single"/>
              </w:rPr>
              <w:t>d</w:t>
            </w:r>
            <w:r>
              <w:t xml:space="preserve"> our commitment to Governing Body Leadership Culture Watchwords </w:t>
            </w:r>
            <w:r>
              <w:rPr>
                <w:rFonts w:cstheme="minorHAnsi"/>
                <w:bCs/>
              </w:rPr>
              <w:t>(</w:t>
            </w:r>
            <w:r w:rsidRPr="00321F6E">
              <w:rPr>
                <w:rFonts w:cstheme="minorHAnsi"/>
                <w:b/>
              </w:rPr>
              <w:t>GB02d 22/23 21 September 2022</w:t>
            </w:r>
            <w:r>
              <w:rPr>
                <w:rFonts w:cstheme="minorHAnsi"/>
                <w:bCs/>
              </w:rPr>
              <w:t xml:space="preserve"> refers):</w:t>
            </w:r>
          </w:p>
          <w:p w14:paraId="4E0DB0F1" w14:textId="77777777" w:rsidR="00A67F32" w:rsidRDefault="00A67F32" w:rsidP="001F53BE"/>
          <w:p w14:paraId="7E49F745" w14:textId="01EF7ED1" w:rsidR="00A67F32" w:rsidRPr="00A10BF5" w:rsidRDefault="00A67F32" w:rsidP="001F53BE">
            <w:pPr>
              <w:rPr>
                <w:rFonts w:eastAsia="Times New Roman"/>
              </w:rPr>
            </w:pPr>
            <w:r w:rsidRPr="00033B0C">
              <w:rPr>
                <w:rFonts w:cstheme="minorHAnsi"/>
                <w:bCs/>
              </w:rPr>
              <w:t xml:space="preserve">Courageous / Creative / Candour / </w:t>
            </w:r>
            <w:proofErr w:type="gramStart"/>
            <w:r w:rsidRPr="00033B0C">
              <w:rPr>
                <w:rFonts w:cstheme="minorHAnsi"/>
                <w:bCs/>
              </w:rPr>
              <w:t>Challenge</w:t>
            </w:r>
            <w:r>
              <w:rPr>
                <w:bCs/>
              </w:rPr>
              <w:t xml:space="preserve">  </w:t>
            </w:r>
            <w:r w:rsidRPr="00A10BF5">
              <w:rPr>
                <w:rFonts w:eastAsia="Times New Roman"/>
              </w:rPr>
              <w:t>(</w:t>
            </w:r>
            <w:proofErr w:type="gramEnd"/>
            <w:r w:rsidRPr="00A10BF5">
              <w:rPr>
                <w:b/>
                <w:color w:val="1F4E79" w:themeColor="accent5" w:themeShade="80"/>
              </w:rPr>
              <w:t>HR</w:t>
            </w:r>
            <w:r w:rsidR="00B80538">
              <w:rPr>
                <w:b/>
                <w:color w:val="1F4E79" w:themeColor="accent5" w:themeShade="80"/>
              </w:rPr>
              <w:t>21</w:t>
            </w:r>
            <w:r w:rsidRPr="00A10BF5">
              <w:rPr>
                <w:b/>
                <w:color w:val="1F4E79" w:themeColor="accent5" w:themeShade="80"/>
              </w:rPr>
              <w:t xml:space="preserve"> 2</w:t>
            </w:r>
            <w:r w:rsidR="00357122">
              <w:rPr>
                <w:b/>
                <w:color w:val="1F4E79" w:themeColor="accent5" w:themeShade="80"/>
              </w:rPr>
              <w:t>3</w:t>
            </w:r>
            <w:r w:rsidRPr="00A10BF5">
              <w:rPr>
                <w:b/>
                <w:color w:val="1F4E79" w:themeColor="accent5" w:themeShade="80"/>
              </w:rPr>
              <w:t>/2</w:t>
            </w:r>
            <w:r w:rsidR="00357122">
              <w:rPr>
                <w:b/>
                <w:color w:val="1F4E79" w:themeColor="accent5" w:themeShade="80"/>
              </w:rPr>
              <w:t>4</w:t>
            </w:r>
            <w:r w:rsidRPr="00A10BF5">
              <w:rPr>
                <w:b/>
                <w:color w:val="1F4E79" w:themeColor="accent5" w:themeShade="80"/>
              </w:rPr>
              <w:t xml:space="preserve"> </w:t>
            </w:r>
            <w:r w:rsidRPr="00A10BF5">
              <w:rPr>
                <w:rFonts w:eastAsia="Times New Roman"/>
              </w:rPr>
              <w:t>below refers)</w:t>
            </w:r>
          </w:p>
          <w:p w14:paraId="76A01D94" w14:textId="77777777" w:rsidR="00A67F32" w:rsidRPr="00CE0F51" w:rsidRDefault="00A67F32" w:rsidP="001F53BE">
            <w:pPr>
              <w:rPr>
                <w:b/>
              </w:rPr>
            </w:pPr>
          </w:p>
        </w:tc>
      </w:tr>
      <w:tr w:rsidR="00A67F32" w:rsidRPr="00CE0F51" w14:paraId="05836247" w14:textId="77777777" w:rsidTr="00B071A0">
        <w:tc>
          <w:tcPr>
            <w:tcW w:w="1844" w:type="dxa"/>
          </w:tcPr>
          <w:p w14:paraId="2D090B5C" w14:textId="3310D2A9" w:rsidR="00A67F32" w:rsidRDefault="00A67F32" w:rsidP="001F53BE">
            <w:pPr>
              <w:rPr>
                <w:b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2604B4">
              <w:rPr>
                <w:b/>
                <w:color w:val="1F4E79" w:themeColor="accent5" w:themeShade="80"/>
              </w:rPr>
              <w:t>13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BF6EC6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BF6EC6">
              <w:rPr>
                <w:b/>
                <w:color w:val="1F4E79" w:themeColor="accent5" w:themeShade="80"/>
              </w:rPr>
              <w:t>4</w:t>
            </w:r>
          </w:p>
          <w:p w14:paraId="4F05814B" w14:textId="77777777" w:rsidR="00A67F32" w:rsidRPr="002E27B3" w:rsidRDefault="00A67F32" w:rsidP="001F53BE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7796" w:type="dxa"/>
          </w:tcPr>
          <w:p w14:paraId="60036A96" w14:textId="6C842C3C" w:rsidR="00A67F32" w:rsidRDefault="00A67F32" w:rsidP="006C7956">
            <w:pPr>
              <w:rPr>
                <w:b/>
              </w:rPr>
            </w:pPr>
            <w:r w:rsidRPr="00CE0F51">
              <w:rPr>
                <w:b/>
              </w:rPr>
              <w:t>Minutes o</w:t>
            </w:r>
            <w:r>
              <w:rPr>
                <w:b/>
              </w:rPr>
              <w:t xml:space="preserve">f the meeting held on </w:t>
            </w:r>
            <w:r w:rsidR="004017F3">
              <w:rPr>
                <w:b/>
              </w:rPr>
              <w:t>11 September</w:t>
            </w:r>
            <w:r>
              <w:rPr>
                <w:b/>
              </w:rPr>
              <w:t xml:space="preserve"> 2023 - </w:t>
            </w:r>
            <w:r w:rsidRPr="00B9015D">
              <w:rPr>
                <w:b/>
                <w:color w:val="BF8F00" w:themeColor="accent4" w:themeShade="BF"/>
              </w:rPr>
              <w:t>Draft (Proposed Final</w:t>
            </w:r>
            <w:r w:rsidRPr="00E82A50">
              <w:rPr>
                <w:b/>
                <w:color w:val="FFC000"/>
              </w:rPr>
              <w:t>)</w:t>
            </w:r>
            <w:r>
              <w:rPr>
                <w:b/>
              </w:rPr>
              <w:t xml:space="preserve"> </w:t>
            </w:r>
          </w:p>
          <w:p w14:paraId="0B2003CB" w14:textId="77777777" w:rsidR="004017F3" w:rsidRDefault="004017F3" w:rsidP="001F53BE"/>
          <w:p w14:paraId="7E1CE5B0" w14:textId="5A667A67" w:rsidR="00A67F32" w:rsidRPr="00DA6BA9" w:rsidRDefault="00A67F32" w:rsidP="001F53BE">
            <w:r>
              <w:t>The Committee</w:t>
            </w:r>
            <w:r w:rsidR="00BF6EC6">
              <w:t xml:space="preserve"> </w:t>
            </w:r>
            <w:r w:rsidRPr="00F42DA0">
              <w:rPr>
                <w:b/>
                <w:bCs/>
                <w:u w:val="single"/>
              </w:rPr>
              <w:t>approve</w:t>
            </w:r>
            <w:r w:rsidR="00B80538">
              <w:rPr>
                <w:b/>
                <w:bCs/>
                <w:u w:val="single"/>
              </w:rPr>
              <w:t>d</w:t>
            </w:r>
            <w:r w:rsidRPr="00DA6BA9">
              <w:t xml:space="preserve"> </w:t>
            </w:r>
            <w:r w:rsidRPr="00E3447D">
              <w:rPr>
                <w:b/>
                <w:bCs/>
                <w:color w:val="806000" w:themeColor="accent4" w:themeShade="80"/>
              </w:rPr>
              <w:t xml:space="preserve">the Draft (Proposed Final) </w:t>
            </w:r>
            <w:r w:rsidRPr="00DA6BA9">
              <w:t>minutes</w:t>
            </w:r>
            <w:r>
              <w:t xml:space="preserve"> of the meeting held on </w:t>
            </w:r>
            <w:r w:rsidR="004017F3">
              <w:t>11 September</w:t>
            </w:r>
            <w:r>
              <w:t xml:space="preserve"> 2023</w:t>
            </w:r>
            <w:r w:rsidR="00BF6EC6">
              <w:t>.</w:t>
            </w:r>
          </w:p>
          <w:p w14:paraId="3C7A2AEF" w14:textId="77777777" w:rsidR="00A67F32" w:rsidRDefault="00A67F32" w:rsidP="001F53BE">
            <w:pPr>
              <w:rPr>
                <w:b/>
              </w:rPr>
            </w:pPr>
          </w:p>
          <w:p w14:paraId="35A4920A" w14:textId="057A361A" w:rsidR="00D93965" w:rsidRPr="00CE0F51" w:rsidRDefault="00D93965" w:rsidP="001F53BE">
            <w:pPr>
              <w:rPr>
                <w:b/>
              </w:rPr>
            </w:pPr>
          </w:p>
        </w:tc>
      </w:tr>
      <w:tr w:rsidR="00A67F32" w:rsidRPr="00CE0F51" w14:paraId="77DD0EC1" w14:textId="77777777" w:rsidTr="00B071A0">
        <w:tc>
          <w:tcPr>
            <w:tcW w:w="1844" w:type="dxa"/>
          </w:tcPr>
          <w:p w14:paraId="1C5DECB3" w14:textId="6A1E0C43" w:rsidR="00A67F32" w:rsidRDefault="00A67F32" w:rsidP="001F53BE">
            <w:pPr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2604B4">
              <w:rPr>
                <w:b/>
                <w:color w:val="1F4E79" w:themeColor="accent5" w:themeShade="80"/>
              </w:rPr>
              <w:t xml:space="preserve">14 </w:t>
            </w:r>
            <w:r>
              <w:rPr>
                <w:b/>
                <w:color w:val="1F4E79" w:themeColor="accent5" w:themeShade="80"/>
              </w:rPr>
              <w:t>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0B6AB1B9" w14:textId="444A8DC4" w:rsidR="00A67F32" w:rsidRPr="002E27B3" w:rsidRDefault="00A67F32" w:rsidP="001F53BE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7796" w:type="dxa"/>
          </w:tcPr>
          <w:p w14:paraId="43E5B985" w14:textId="418DD9DD" w:rsidR="00A67F32" w:rsidRPr="006C7956" w:rsidRDefault="00A67F32" w:rsidP="001F53BE">
            <w:pPr>
              <w:rPr>
                <w:b/>
              </w:rPr>
            </w:pPr>
            <w:r w:rsidRPr="00CE0F51">
              <w:rPr>
                <w:b/>
              </w:rPr>
              <w:t>Matters Arising from the m</w:t>
            </w:r>
            <w:r>
              <w:rPr>
                <w:b/>
              </w:rPr>
              <w:t xml:space="preserve">inutes of the meeting held on </w:t>
            </w:r>
            <w:r w:rsidR="004017F3">
              <w:rPr>
                <w:b/>
              </w:rPr>
              <w:t>11 September</w:t>
            </w:r>
            <w:r>
              <w:rPr>
                <w:b/>
              </w:rPr>
              <w:t xml:space="preserve"> 2023</w:t>
            </w:r>
          </w:p>
          <w:p w14:paraId="34EC6CFF" w14:textId="77777777" w:rsidR="006F3CFA" w:rsidRDefault="006F3CFA" w:rsidP="00E3447D"/>
          <w:p w14:paraId="3B569B91" w14:textId="3BABC74E" w:rsidR="00B80538" w:rsidRDefault="006F3CFA" w:rsidP="00E3447D">
            <w:r>
              <w:t>M</w:t>
            </w:r>
            <w:r w:rsidR="00A67F32">
              <w:t>atters arising from the meeting</w:t>
            </w:r>
            <w:r w:rsidR="00B80538">
              <w:t xml:space="preserve"> were noted</w:t>
            </w:r>
            <w:r w:rsidR="00835755">
              <w:t>.</w:t>
            </w:r>
          </w:p>
          <w:p w14:paraId="222F9402" w14:textId="77777777" w:rsidR="00835755" w:rsidRDefault="00835755" w:rsidP="00E3447D"/>
          <w:p w14:paraId="609634F1" w14:textId="62C80218" w:rsidR="006E5B7D" w:rsidRPr="0052377F" w:rsidRDefault="006E5B7D" w:rsidP="0052377F">
            <w:pPr>
              <w:pStyle w:val="ListParagraph"/>
              <w:numPr>
                <w:ilvl w:val="0"/>
                <w:numId w:val="6"/>
              </w:numPr>
              <w:tabs>
                <w:tab w:val="right" w:pos="9026"/>
              </w:tabs>
              <w:rPr>
                <w:b/>
              </w:rPr>
            </w:pPr>
            <w:r w:rsidRPr="0052377F">
              <w:rPr>
                <w:b/>
              </w:rPr>
              <w:t>HR07</w:t>
            </w:r>
            <w:r w:rsidR="008718F9">
              <w:rPr>
                <w:b/>
              </w:rPr>
              <w:t xml:space="preserve"> 23/24</w:t>
            </w:r>
            <w:r w:rsidRPr="0052377F">
              <w:rPr>
                <w:b/>
              </w:rPr>
              <w:t xml:space="preserve"> - Performance Management Reports as at Q4 2022/23</w:t>
            </w:r>
          </w:p>
          <w:p w14:paraId="18850802" w14:textId="1AD1AF96" w:rsidR="00577E29" w:rsidRPr="001877B0" w:rsidRDefault="00577E29" w:rsidP="00324A5A">
            <w:r w:rsidRPr="001877B0">
              <w:t>H</w:t>
            </w:r>
            <w:r w:rsidR="00AA0F27" w:rsidRPr="001877B0">
              <w:t>HR</w:t>
            </w:r>
            <w:r w:rsidRPr="001877B0">
              <w:t xml:space="preserve"> </w:t>
            </w:r>
            <w:r w:rsidR="005B0BE1" w:rsidRPr="001877B0">
              <w:t>confirmed</w:t>
            </w:r>
            <w:r w:rsidR="00835755" w:rsidRPr="001877B0">
              <w:t xml:space="preserve"> the Sector H</w:t>
            </w:r>
            <w:r w:rsidR="008718F9">
              <w:t>R</w:t>
            </w:r>
            <w:r w:rsidR="00835755" w:rsidRPr="001877B0">
              <w:t xml:space="preserve"> Working Group are considering the</w:t>
            </w:r>
            <w:r w:rsidRPr="001877B0">
              <w:t xml:space="preserve"> </w:t>
            </w:r>
            <w:r w:rsidR="001877B0" w:rsidRPr="001877B0">
              <w:t xml:space="preserve">recruitment </w:t>
            </w:r>
            <w:r w:rsidRPr="001877B0">
              <w:t>metri</w:t>
            </w:r>
            <w:r w:rsidR="00835755" w:rsidRPr="001877B0">
              <w:t>c to include</w:t>
            </w:r>
            <w:r w:rsidRPr="001877B0">
              <w:t xml:space="preserve"> </w:t>
            </w:r>
            <w:r w:rsidR="00324A5A" w:rsidRPr="001877B0">
              <w:t>in the sector benchmarking exercis</w:t>
            </w:r>
            <w:r w:rsidR="008718F9">
              <w:t>e</w:t>
            </w:r>
            <w:r w:rsidRPr="001877B0">
              <w:t>.</w:t>
            </w:r>
          </w:p>
          <w:p w14:paraId="45EEDE90" w14:textId="3B7682D4" w:rsidR="006B4DC9" w:rsidRPr="00835755" w:rsidRDefault="006B4DC9" w:rsidP="00835755">
            <w:pPr>
              <w:rPr>
                <w:b/>
              </w:rPr>
            </w:pPr>
          </w:p>
        </w:tc>
      </w:tr>
      <w:tr w:rsidR="00E3447D" w14:paraId="5013E88F" w14:textId="77777777" w:rsidTr="00B071A0">
        <w:tc>
          <w:tcPr>
            <w:tcW w:w="1844" w:type="dxa"/>
          </w:tcPr>
          <w:p w14:paraId="2B08B9F3" w14:textId="15EF99EC" w:rsidR="00E3447D" w:rsidRPr="002E27B3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2604B4">
              <w:rPr>
                <w:b/>
                <w:color w:val="1F4E79" w:themeColor="accent5" w:themeShade="80"/>
              </w:rPr>
              <w:t>15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08D26F9B" w14:textId="77777777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0C103600" w14:textId="41F1EAC3" w:rsidR="00E3447D" w:rsidRPr="00E24E9E" w:rsidRDefault="00E3447D" w:rsidP="001F53BE">
            <w:pPr>
              <w:tabs>
                <w:tab w:val="right" w:pos="9026"/>
              </w:tabs>
              <w:rPr>
                <w:bCs/>
                <w:color w:val="1F4E79" w:themeColor="accent5" w:themeShade="80"/>
              </w:rPr>
            </w:pPr>
          </w:p>
        </w:tc>
        <w:tc>
          <w:tcPr>
            <w:tcW w:w="7796" w:type="dxa"/>
          </w:tcPr>
          <w:p w14:paraId="64F44350" w14:textId="77777777" w:rsidR="00E3447D" w:rsidRPr="00650A30" w:rsidRDefault="00E3447D" w:rsidP="001F53BE">
            <w:pPr>
              <w:rPr>
                <w:b/>
              </w:rPr>
            </w:pPr>
            <w:r w:rsidRPr="00650A30">
              <w:rPr>
                <w:b/>
              </w:rPr>
              <w:t>Governance Guidance and Information</w:t>
            </w:r>
          </w:p>
          <w:p w14:paraId="09C73F70" w14:textId="77777777" w:rsidR="00E3447D" w:rsidRDefault="00E3447D" w:rsidP="001F53BE"/>
          <w:p w14:paraId="3BD96A54" w14:textId="4DD00EA8" w:rsidR="00E3447D" w:rsidRPr="009F05DD" w:rsidRDefault="00EA0206" w:rsidP="001F53BE">
            <w:pPr>
              <w:rPr>
                <w:rFonts w:cs="Arial"/>
              </w:rPr>
            </w:pPr>
            <w:r>
              <w:rPr>
                <w:bCs/>
              </w:rPr>
              <w:t xml:space="preserve">None </w:t>
            </w:r>
            <w:r w:rsidR="00E3447D" w:rsidRPr="000111B3">
              <w:rPr>
                <w:bCs/>
              </w:rPr>
              <w:t xml:space="preserve">advised </w:t>
            </w:r>
            <w:r w:rsidR="005D6FAD">
              <w:rPr>
                <w:bCs/>
              </w:rPr>
              <w:t>from previous meeting.</w:t>
            </w:r>
          </w:p>
          <w:p w14:paraId="1ED0ECAA" w14:textId="77777777" w:rsidR="00E3447D" w:rsidRPr="003A0E39" w:rsidRDefault="00E3447D" w:rsidP="001F53BE"/>
        </w:tc>
      </w:tr>
      <w:tr w:rsidR="00E3447D" w14:paraId="26FEBF06" w14:textId="77777777" w:rsidTr="00B071A0">
        <w:tc>
          <w:tcPr>
            <w:tcW w:w="1844" w:type="dxa"/>
          </w:tcPr>
          <w:p w14:paraId="26CD95A2" w14:textId="08F7F1F5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2604B4">
              <w:rPr>
                <w:b/>
                <w:color w:val="1F4E79" w:themeColor="accent5" w:themeShade="80"/>
              </w:rPr>
              <w:t>16</w:t>
            </w:r>
            <w:r w:rsidR="00905ADF">
              <w:rPr>
                <w:b/>
                <w:color w:val="1F4E79" w:themeColor="accent5" w:themeShade="80"/>
              </w:rPr>
              <w:t xml:space="preserve"> </w:t>
            </w:r>
            <w:r>
              <w:rPr>
                <w:b/>
                <w:color w:val="1F4E79" w:themeColor="accent5" w:themeShade="80"/>
              </w:rPr>
              <w:t>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  <w:r w:rsidRPr="002E27B3">
              <w:rPr>
                <w:b/>
                <w:color w:val="1F4E79" w:themeColor="accent5" w:themeShade="80"/>
              </w:rPr>
              <w:t xml:space="preserve">  </w:t>
            </w:r>
          </w:p>
          <w:p w14:paraId="2B44D0C3" w14:textId="77777777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37F23FF8" w14:textId="1FB01A69" w:rsidR="00F8015E" w:rsidRDefault="00F8015E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</w:tc>
        <w:tc>
          <w:tcPr>
            <w:tcW w:w="7796" w:type="dxa"/>
          </w:tcPr>
          <w:p w14:paraId="638CD7F2" w14:textId="77777777" w:rsidR="00E3447D" w:rsidRDefault="00E3447D" w:rsidP="001F53BE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 w:rsidRPr="00C5565A">
              <w:rPr>
                <w:b/>
              </w:rPr>
              <w:t>V5</w:t>
            </w:r>
            <w:r w:rsidRPr="00E3447D">
              <w:rPr>
                <w:b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>
              <w:rPr>
                <w:b/>
              </w:rPr>
              <w:t>22 June 2022</w:t>
            </w:r>
          </w:p>
          <w:p w14:paraId="37952C6F" w14:textId="77777777" w:rsidR="005D6FAD" w:rsidRDefault="005D6FAD" w:rsidP="005D6FAD">
            <w:pPr>
              <w:rPr>
                <w:bCs/>
              </w:rPr>
            </w:pPr>
          </w:p>
          <w:p w14:paraId="6729CE14" w14:textId="591C8E8A" w:rsidR="005D6FAD" w:rsidRPr="009F05DD" w:rsidRDefault="005D6FAD" w:rsidP="005D6FAD">
            <w:pPr>
              <w:rPr>
                <w:rFonts w:cs="Arial"/>
              </w:rPr>
            </w:pPr>
            <w:r>
              <w:rPr>
                <w:bCs/>
              </w:rPr>
              <w:t xml:space="preserve">None </w:t>
            </w:r>
            <w:r w:rsidRPr="000111B3">
              <w:rPr>
                <w:bCs/>
              </w:rPr>
              <w:t xml:space="preserve">advised </w:t>
            </w:r>
            <w:r>
              <w:rPr>
                <w:bCs/>
              </w:rPr>
              <w:t>from previous meeting.</w:t>
            </w:r>
          </w:p>
          <w:p w14:paraId="53B6CDB7" w14:textId="77777777" w:rsidR="00E3447D" w:rsidRPr="00650A30" w:rsidRDefault="00E3447D" w:rsidP="001F53BE">
            <w:pPr>
              <w:rPr>
                <w:b/>
              </w:rPr>
            </w:pPr>
          </w:p>
        </w:tc>
      </w:tr>
      <w:tr w:rsidR="00E3447D" w14:paraId="75BCAFCD" w14:textId="77777777" w:rsidTr="00B071A0">
        <w:tc>
          <w:tcPr>
            <w:tcW w:w="1844" w:type="dxa"/>
          </w:tcPr>
          <w:p w14:paraId="262CA6B2" w14:textId="5F2CCB11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2604B4">
              <w:rPr>
                <w:b/>
                <w:color w:val="1F4E79" w:themeColor="accent5" w:themeShade="80"/>
              </w:rPr>
              <w:t>17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  <w:r w:rsidRPr="002E27B3">
              <w:rPr>
                <w:b/>
                <w:color w:val="1F4E79" w:themeColor="accent5" w:themeShade="80"/>
              </w:rPr>
              <w:t xml:space="preserve">  </w:t>
            </w:r>
          </w:p>
          <w:p w14:paraId="2EB61C10" w14:textId="77777777" w:rsidR="00F2032A" w:rsidRDefault="00F2032A" w:rsidP="001F53BE">
            <w:pPr>
              <w:tabs>
                <w:tab w:val="right" w:pos="9026"/>
              </w:tabs>
              <w:rPr>
                <w:b/>
              </w:rPr>
            </w:pPr>
          </w:p>
          <w:p w14:paraId="1E05212B" w14:textId="77777777" w:rsidR="00E3447D" w:rsidRPr="00927F72" w:rsidRDefault="00E3447D" w:rsidP="00F9236C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</w:tc>
        <w:tc>
          <w:tcPr>
            <w:tcW w:w="7796" w:type="dxa"/>
          </w:tcPr>
          <w:p w14:paraId="45D6404B" w14:textId="77777777" w:rsidR="00E3447D" w:rsidRDefault="00E3447D" w:rsidP="001F53BE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38B4F990" w14:textId="1FAED9D7" w:rsidR="00EA0206" w:rsidRDefault="00EA0206" w:rsidP="00EA0206"/>
          <w:p w14:paraId="5651EB73" w14:textId="1576CD65" w:rsidR="005D6FAD" w:rsidRPr="009F05DD" w:rsidRDefault="005D6FAD" w:rsidP="00EA0206">
            <w:pPr>
              <w:rPr>
                <w:rFonts w:cs="Arial"/>
              </w:rPr>
            </w:pPr>
            <w:r>
              <w:t>None.</w:t>
            </w:r>
          </w:p>
          <w:p w14:paraId="48A17971" w14:textId="77777777" w:rsidR="00E3447D" w:rsidRDefault="00E3447D" w:rsidP="00667CC4"/>
        </w:tc>
      </w:tr>
      <w:tr w:rsidR="00E3447D" w14:paraId="2F84D29C" w14:textId="77777777" w:rsidTr="00B071A0">
        <w:tc>
          <w:tcPr>
            <w:tcW w:w="1844" w:type="dxa"/>
          </w:tcPr>
          <w:p w14:paraId="62B13DD0" w14:textId="27E9EAA7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2604B4">
              <w:rPr>
                <w:b/>
                <w:color w:val="1F4E79" w:themeColor="accent5" w:themeShade="80"/>
              </w:rPr>
              <w:t>18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449D3598" w14:textId="77777777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034FFFAB" w14:textId="77777777" w:rsidR="00BA762E" w:rsidRDefault="00BA762E" w:rsidP="001F53BE">
            <w:pPr>
              <w:tabs>
                <w:tab w:val="right" w:pos="9026"/>
              </w:tabs>
              <w:rPr>
                <w:b/>
              </w:rPr>
            </w:pPr>
          </w:p>
          <w:p w14:paraId="3CC0BC40" w14:textId="77777777" w:rsidR="00E3447D" w:rsidRDefault="00E3447D" w:rsidP="001F53BE">
            <w:pPr>
              <w:tabs>
                <w:tab w:val="right" w:pos="9026"/>
              </w:tabs>
              <w:rPr>
                <w:b/>
              </w:rPr>
            </w:pPr>
          </w:p>
          <w:p w14:paraId="4902AF14" w14:textId="77777777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07036537" w14:textId="77777777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</w:tc>
        <w:tc>
          <w:tcPr>
            <w:tcW w:w="7796" w:type="dxa"/>
          </w:tcPr>
          <w:p w14:paraId="284EA561" w14:textId="4A9938E0" w:rsidR="00E3447D" w:rsidRDefault="00E3447D" w:rsidP="001F53B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Performance Management Reports as at Q</w:t>
            </w:r>
            <w:r w:rsidR="00B071A0">
              <w:rPr>
                <w:b/>
              </w:rPr>
              <w:t>1</w:t>
            </w:r>
            <w:r>
              <w:rPr>
                <w:b/>
              </w:rPr>
              <w:t xml:space="preserve"> 202</w:t>
            </w:r>
            <w:r w:rsidR="00B071A0">
              <w:rPr>
                <w:b/>
              </w:rPr>
              <w:t>3</w:t>
            </w:r>
            <w:r>
              <w:rPr>
                <w:b/>
              </w:rPr>
              <w:t>/2</w:t>
            </w:r>
            <w:r w:rsidR="00B071A0">
              <w:rPr>
                <w:b/>
              </w:rPr>
              <w:t>4</w:t>
            </w:r>
          </w:p>
          <w:p w14:paraId="6C2B4F21" w14:textId="77777777" w:rsidR="00E3447D" w:rsidRDefault="00E3447D" w:rsidP="001F53BE">
            <w:pPr>
              <w:tabs>
                <w:tab w:val="right" w:pos="9026"/>
              </w:tabs>
              <w:rPr>
                <w:b/>
              </w:rPr>
            </w:pPr>
          </w:p>
          <w:p w14:paraId="0F2C826E" w14:textId="089BF10A" w:rsidR="005B0BE1" w:rsidRDefault="005B0BE1" w:rsidP="001F53BE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Chair noted the report received in advance and assumed as read with members </w:t>
            </w:r>
            <w:r w:rsidR="00297EC7">
              <w:rPr>
                <w:bCs/>
              </w:rPr>
              <w:t xml:space="preserve">invited to </w:t>
            </w:r>
            <w:r>
              <w:rPr>
                <w:bCs/>
              </w:rPr>
              <w:t>rais</w:t>
            </w:r>
            <w:r w:rsidR="00297EC7">
              <w:rPr>
                <w:bCs/>
              </w:rPr>
              <w:t>e any</w:t>
            </w:r>
            <w:r>
              <w:rPr>
                <w:bCs/>
              </w:rPr>
              <w:t xml:space="preserve"> queries.</w:t>
            </w:r>
          </w:p>
          <w:p w14:paraId="0D951FC0" w14:textId="77777777" w:rsidR="005B0BE1" w:rsidRDefault="005B0BE1" w:rsidP="001F53BE">
            <w:pPr>
              <w:tabs>
                <w:tab w:val="right" w:pos="9026"/>
              </w:tabs>
              <w:rPr>
                <w:bCs/>
              </w:rPr>
            </w:pPr>
          </w:p>
          <w:p w14:paraId="1C414187" w14:textId="1082347E" w:rsidR="00244E6A" w:rsidRPr="00244E6A" w:rsidRDefault="00F03D91" w:rsidP="001F53BE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HR Perf</w:t>
            </w:r>
            <w:r w:rsidR="002344B4">
              <w:rPr>
                <w:bCs/>
              </w:rPr>
              <w:t>o</w:t>
            </w:r>
            <w:r>
              <w:rPr>
                <w:bCs/>
              </w:rPr>
              <w:t>rmance Management Report i</w:t>
            </w:r>
            <w:r w:rsidR="002344B4">
              <w:rPr>
                <w:bCs/>
              </w:rPr>
              <w:t>nclude</w:t>
            </w:r>
            <w:r w:rsidR="003F0FC3">
              <w:rPr>
                <w:bCs/>
              </w:rPr>
              <w:t>s</w:t>
            </w:r>
            <w:r w:rsidR="00244E6A" w:rsidRPr="00244E6A">
              <w:rPr>
                <w:bCs/>
              </w:rPr>
              <w:t xml:space="preserve"> following items:</w:t>
            </w:r>
          </w:p>
          <w:p w14:paraId="34B57E37" w14:textId="77777777" w:rsidR="00244E6A" w:rsidRDefault="00244E6A" w:rsidP="001F53BE">
            <w:pPr>
              <w:tabs>
                <w:tab w:val="right" w:pos="9026"/>
              </w:tabs>
              <w:rPr>
                <w:b/>
              </w:rPr>
            </w:pPr>
          </w:p>
          <w:p w14:paraId="4EE0F074" w14:textId="7CF93080" w:rsidR="00816CA0" w:rsidRPr="0046423F" w:rsidRDefault="00647119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HR Metrics</w:t>
            </w:r>
            <w:r>
              <w:rPr>
                <w:bCs/>
              </w:rPr>
              <w:t xml:space="preserve"> Report</w:t>
            </w:r>
            <w:r w:rsidR="0046423F">
              <w:rPr>
                <w:bCs/>
              </w:rPr>
              <w:t xml:space="preserve"> inc Establishment figures, Sickness Absence, Turnover/attrition rate, Employ</w:t>
            </w:r>
            <w:r w:rsidR="00D8634A">
              <w:rPr>
                <w:bCs/>
              </w:rPr>
              <w:t>ee Relations cases.</w:t>
            </w:r>
          </w:p>
          <w:p w14:paraId="5FAFF4AA" w14:textId="77777777" w:rsidR="004C14F6" w:rsidRPr="001A1E94" w:rsidRDefault="004C14F6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Resourcing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Report;</w:t>
            </w:r>
            <w:proofErr w:type="gramEnd"/>
          </w:p>
          <w:p w14:paraId="16C17C40" w14:textId="02AE771C" w:rsidR="001A1E94" w:rsidRDefault="001A1E94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Equality</w:t>
            </w:r>
            <w:r w:rsidR="003345C5">
              <w:rPr>
                <w:bCs/>
              </w:rPr>
              <w:t xml:space="preserve"> </w:t>
            </w:r>
            <w:proofErr w:type="gramStart"/>
            <w:r w:rsidR="003505A8">
              <w:rPr>
                <w:bCs/>
              </w:rPr>
              <w:t>Report;</w:t>
            </w:r>
            <w:proofErr w:type="gramEnd"/>
          </w:p>
          <w:p w14:paraId="595BD1AC" w14:textId="7A1C22E4" w:rsidR="009236DF" w:rsidRDefault="009236DF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Centre for Excellenc</w:t>
            </w:r>
            <w:r w:rsidR="003345C5">
              <w:rPr>
                <w:bCs/>
              </w:rPr>
              <w:t>e</w:t>
            </w:r>
            <w:r>
              <w:rPr>
                <w:bCs/>
              </w:rPr>
              <w:t xml:space="preserve"> </w:t>
            </w:r>
            <w:r w:rsidR="003505A8">
              <w:rPr>
                <w:bCs/>
              </w:rPr>
              <w:t>Report.</w:t>
            </w:r>
          </w:p>
          <w:p w14:paraId="182783A7" w14:textId="77777777" w:rsidR="00647119" w:rsidRDefault="00647119" w:rsidP="00647119">
            <w:pPr>
              <w:tabs>
                <w:tab w:val="right" w:pos="9026"/>
              </w:tabs>
            </w:pPr>
          </w:p>
          <w:p w14:paraId="6A1282A9" w14:textId="542762FB" w:rsidR="005B0BE1" w:rsidRDefault="005B0BE1" w:rsidP="005B0BE1">
            <w:pPr>
              <w:tabs>
                <w:tab w:val="right" w:pos="9026"/>
              </w:tabs>
              <w:rPr>
                <w:bCs/>
              </w:rPr>
            </w:pPr>
            <w:r w:rsidRPr="00244E6A">
              <w:rPr>
                <w:bCs/>
              </w:rPr>
              <w:t xml:space="preserve">HHR </w:t>
            </w:r>
            <w:r>
              <w:rPr>
                <w:bCs/>
              </w:rPr>
              <w:t>gave an overview of the trend analysis</w:t>
            </w:r>
            <w:r w:rsidR="002344B4">
              <w:rPr>
                <w:bCs/>
              </w:rPr>
              <w:t xml:space="preserve"> including:</w:t>
            </w:r>
          </w:p>
          <w:p w14:paraId="3DB7F1F0" w14:textId="77777777" w:rsidR="005B0BE1" w:rsidRDefault="005B0BE1" w:rsidP="005B0BE1">
            <w:pPr>
              <w:tabs>
                <w:tab w:val="right" w:pos="9026"/>
              </w:tabs>
              <w:rPr>
                <w:bCs/>
              </w:rPr>
            </w:pPr>
          </w:p>
          <w:p w14:paraId="48A54CB2" w14:textId="4456409C" w:rsidR="005B0BE1" w:rsidRDefault="005B0BE1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  <w:rPr>
                <w:bCs/>
              </w:rPr>
            </w:pPr>
            <w:r w:rsidRPr="002344B4">
              <w:rPr>
                <w:bCs/>
              </w:rPr>
              <w:t xml:space="preserve">Headcount reducing.  </w:t>
            </w:r>
          </w:p>
          <w:p w14:paraId="2D09A463" w14:textId="6D390483" w:rsidR="00C62BBA" w:rsidRDefault="00F35306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Agency worker number controls in place.  </w:t>
            </w:r>
          </w:p>
          <w:p w14:paraId="7BE47B93" w14:textId="599AF767" w:rsidR="005B0BE1" w:rsidRPr="00C5311E" w:rsidRDefault="00C62BBA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 w:rsidRPr="004D0549">
              <w:rPr>
                <w:bCs/>
              </w:rPr>
              <w:t xml:space="preserve">Recruitment </w:t>
            </w:r>
            <w:r w:rsidR="00401ACE">
              <w:rPr>
                <w:bCs/>
              </w:rPr>
              <w:t>taking place only</w:t>
            </w:r>
            <w:r w:rsidRPr="004D0549">
              <w:rPr>
                <w:bCs/>
              </w:rPr>
              <w:t xml:space="preserve"> in </w:t>
            </w:r>
            <w:proofErr w:type="gramStart"/>
            <w:r w:rsidRPr="004D0549">
              <w:rPr>
                <w:bCs/>
              </w:rPr>
              <w:t>business critical</w:t>
            </w:r>
            <w:proofErr w:type="gramEnd"/>
            <w:r w:rsidRPr="004D0549">
              <w:rPr>
                <w:bCs/>
              </w:rPr>
              <w:t xml:space="preserve"> areas</w:t>
            </w:r>
            <w:r w:rsidR="004D0549">
              <w:rPr>
                <w:bCs/>
              </w:rPr>
              <w:t>.</w:t>
            </w:r>
          </w:p>
          <w:p w14:paraId="7D7C4437" w14:textId="6F35154F" w:rsidR="00C5311E" w:rsidRDefault="00C5311E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>
              <w:t>Overall increase in sickness absence in both short and long term, similar levels for support and academic staff.</w:t>
            </w:r>
          </w:p>
          <w:p w14:paraId="644A9022" w14:textId="45B58F26" w:rsidR="003C0396" w:rsidRDefault="00B10442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>
              <w:t xml:space="preserve">Increase in mental health related absences which includes </w:t>
            </w:r>
            <w:r w:rsidR="00F9236C">
              <w:t xml:space="preserve">personal and </w:t>
            </w:r>
            <w:r>
              <w:t>work stress.</w:t>
            </w:r>
          </w:p>
          <w:p w14:paraId="4D4C12F0" w14:textId="6DE60844" w:rsidR="00F22FFB" w:rsidRDefault="00F22FFB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>
              <w:t>Increase u</w:t>
            </w:r>
            <w:r w:rsidR="00355A06">
              <w:t>ptake</w:t>
            </w:r>
            <w:r>
              <w:t xml:space="preserve"> of Inspire, employee support service.</w:t>
            </w:r>
          </w:p>
          <w:p w14:paraId="6E1CDF4B" w14:textId="623C4D7B" w:rsidR="0097094D" w:rsidRDefault="0097094D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>
              <w:t>Turnover is down.</w:t>
            </w:r>
          </w:p>
          <w:p w14:paraId="3A838AB1" w14:textId="77777777" w:rsidR="00401ACE" w:rsidRDefault="0097094D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>
              <w:t xml:space="preserve">ER case work increased.  </w:t>
            </w:r>
            <w:r w:rsidR="00B84D7C">
              <w:t xml:space="preserve"> </w:t>
            </w:r>
          </w:p>
          <w:p w14:paraId="7EF81457" w14:textId="41DC4659" w:rsidR="00642BAD" w:rsidRDefault="00B84D7C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>
              <w:t xml:space="preserve">Cases coming </w:t>
            </w:r>
            <w:r w:rsidR="00274C7E">
              <w:t xml:space="preserve">up </w:t>
            </w:r>
            <w:r>
              <w:t>to GB panels.</w:t>
            </w:r>
          </w:p>
          <w:p w14:paraId="0A4EAD54" w14:textId="7A84723D" w:rsidR="002324C8" w:rsidRDefault="00AD0006" w:rsidP="00EC22EA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>
              <w:t xml:space="preserve">On </w:t>
            </w:r>
            <w:r w:rsidR="00401ACE">
              <w:t>request</w:t>
            </w:r>
            <w:r>
              <w:t xml:space="preserve"> of </w:t>
            </w:r>
            <w:r w:rsidR="00B33F9C">
              <w:t>C</w:t>
            </w:r>
            <w:r>
              <w:t>ommittee</w:t>
            </w:r>
            <w:r w:rsidR="00401ACE">
              <w:t>, HR are now</w:t>
            </w:r>
            <w:r w:rsidR="00C5589F">
              <w:t xml:space="preserve"> </w:t>
            </w:r>
            <w:r>
              <w:t>record</w:t>
            </w:r>
            <w:r w:rsidR="00401ACE">
              <w:t>ing</w:t>
            </w:r>
            <w:r>
              <w:t xml:space="preserve"> the informal interventions.   </w:t>
            </w:r>
            <w:r w:rsidR="00401ACE">
              <w:t xml:space="preserve">There are 26 informal cases currently and whilst </w:t>
            </w:r>
            <w:r w:rsidR="00642BAD">
              <w:t>HRD has reviewed</w:t>
            </w:r>
            <w:r w:rsidR="00401ACE">
              <w:t xml:space="preserve"> reasons for increased case work, there are not at this stage</w:t>
            </w:r>
            <w:r w:rsidR="00B27E04">
              <w:t xml:space="preserve"> </w:t>
            </w:r>
            <w:r w:rsidR="00401ACE">
              <w:t xml:space="preserve">any </w:t>
            </w:r>
            <w:proofErr w:type="gramStart"/>
            <w:r w:rsidR="00401ACE">
              <w:t>particular patterns</w:t>
            </w:r>
            <w:proofErr w:type="gramEnd"/>
            <w:r w:rsidR="00401ACE">
              <w:t>.</w:t>
            </w:r>
            <w:r w:rsidR="00642BAD">
              <w:t xml:space="preserve">  </w:t>
            </w:r>
            <w:r w:rsidR="00401ACE">
              <w:t>HR w</w:t>
            </w:r>
            <w:r w:rsidR="00642BAD">
              <w:t>ill continue to monitor.</w:t>
            </w:r>
          </w:p>
          <w:p w14:paraId="5CC133A0" w14:textId="7AE67B8E" w:rsidR="00695483" w:rsidRPr="00695483" w:rsidRDefault="00695483" w:rsidP="00695483">
            <w:pPr>
              <w:tabs>
                <w:tab w:val="left" w:pos="1245"/>
              </w:tabs>
            </w:pPr>
            <w:r>
              <w:tab/>
            </w:r>
          </w:p>
          <w:p w14:paraId="5340EEEF" w14:textId="02478221" w:rsidR="00F35DFE" w:rsidRDefault="008505C0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>
              <w:t xml:space="preserve">One IT case ongoing (pension/age </w:t>
            </w:r>
            <w:r w:rsidR="009C6F74">
              <w:t>discrimination</w:t>
            </w:r>
            <w:r>
              <w:t xml:space="preserve">) covering </w:t>
            </w:r>
            <w:r w:rsidR="00401ACE">
              <w:t xml:space="preserve">numerous </w:t>
            </w:r>
            <w:r>
              <w:t xml:space="preserve">members </w:t>
            </w:r>
            <w:r w:rsidR="00401ACE">
              <w:t>i</w:t>
            </w:r>
            <w:r>
              <w:t>n NILGOSC pension scheme.</w:t>
            </w:r>
          </w:p>
          <w:p w14:paraId="01ECDBBE" w14:textId="03C6FCAC" w:rsidR="006736FE" w:rsidRDefault="00F35DFE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>
              <w:t>Some issues with occupational hea</w:t>
            </w:r>
            <w:r w:rsidR="006736FE">
              <w:t>l</w:t>
            </w:r>
            <w:r>
              <w:t xml:space="preserve">th provider SLA </w:t>
            </w:r>
            <w:r w:rsidR="00401ACE">
              <w:t xml:space="preserve">were raised for noting.  HHR advised that the current contract was coming to an end and so it was timely that we are </w:t>
            </w:r>
            <w:r>
              <w:t xml:space="preserve">in the process of drawing up a new </w:t>
            </w:r>
            <w:r w:rsidR="00401ACE">
              <w:t>tender for procurement of OH Services</w:t>
            </w:r>
          </w:p>
          <w:p w14:paraId="76B6B92C" w14:textId="461F805A" w:rsidR="006736FE" w:rsidRDefault="006736FE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>
              <w:t xml:space="preserve">Recruitment activity </w:t>
            </w:r>
            <w:r w:rsidR="00401ACE">
              <w:t xml:space="preserve">has </w:t>
            </w:r>
            <w:r>
              <w:t xml:space="preserve">reduced </w:t>
            </w:r>
            <w:proofErr w:type="gramStart"/>
            <w:r>
              <w:t xml:space="preserve">in </w:t>
            </w:r>
            <w:r w:rsidR="00401ACE">
              <w:t>to</w:t>
            </w:r>
            <w:proofErr w:type="gramEnd"/>
            <w:r w:rsidR="00401ACE">
              <w:t xml:space="preserve"> the context of the </w:t>
            </w:r>
            <w:r>
              <w:t>current environment</w:t>
            </w:r>
            <w:r w:rsidR="00401ACE">
              <w:t xml:space="preserve"> with a proposed redundancy programme</w:t>
            </w:r>
            <w:r>
              <w:t>.</w:t>
            </w:r>
          </w:p>
          <w:p w14:paraId="5AEAD32F" w14:textId="49D013D8" w:rsidR="006736FE" w:rsidRDefault="006736FE" w:rsidP="006736F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</w:pPr>
            <w:r>
              <w:t xml:space="preserve">2 new metrics on the report: time to fill and time to </w:t>
            </w:r>
            <w:r w:rsidR="006A61E2">
              <w:t>recruit, will now be reported quarterly</w:t>
            </w:r>
            <w:r>
              <w:t>.</w:t>
            </w:r>
          </w:p>
          <w:p w14:paraId="3BD90200" w14:textId="77777777" w:rsidR="001A6024" w:rsidRDefault="001A6024" w:rsidP="009C6F74">
            <w:pPr>
              <w:tabs>
                <w:tab w:val="right" w:pos="9026"/>
              </w:tabs>
            </w:pPr>
          </w:p>
          <w:p w14:paraId="19A19D43" w14:textId="1BA0AE66" w:rsidR="009C6F74" w:rsidRDefault="001A6024" w:rsidP="009C6F74">
            <w:pPr>
              <w:tabs>
                <w:tab w:val="right" w:pos="9026"/>
              </w:tabs>
            </w:pPr>
            <w:r>
              <w:t>T</w:t>
            </w:r>
            <w:r w:rsidR="006917A4">
              <w:t xml:space="preserve">he </w:t>
            </w:r>
            <w:r>
              <w:t xml:space="preserve">current </w:t>
            </w:r>
            <w:r w:rsidR="006917A4">
              <w:t xml:space="preserve">Grievance Policy </w:t>
            </w:r>
            <w:r>
              <w:t xml:space="preserve">was </w:t>
            </w:r>
            <w:proofErr w:type="gramStart"/>
            <w:r>
              <w:t>discussed</w:t>
            </w:r>
            <w:proofErr w:type="gramEnd"/>
            <w:r>
              <w:t xml:space="preserve"> and review date noted.  </w:t>
            </w:r>
          </w:p>
          <w:p w14:paraId="16287CF3" w14:textId="77777777" w:rsidR="00F35DFE" w:rsidRDefault="00F35DFE" w:rsidP="009C6F74">
            <w:pPr>
              <w:tabs>
                <w:tab w:val="right" w:pos="9026"/>
              </w:tabs>
            </w:pPr>
          </w:p>
          <w:p w14:paraId="4B16113A" w14:textId="6EDEB873" w:rsidR="009C6F74" w:rsidRDefault="00F35DFE" w:rsidP="009C6F74">
            <w:pPr>
              <w:tabs>
                <w:tab w:val="right" w:pos="9026"/>
              </w:tabs>
            </w:pPr>
            <w:r>
              <w:t>Committee member</w:t>
            </w:r>
            <w:r w:rsidR="009C6F74">
              <w:t xml:space="preserve"> </w:t>
            </w:r>
            <w:r>
              <w:t xml:space="preserve">with the </w:t>
            </w:r>
            <w:r w:rsidR="009C6F74">
              <w:t xml:space="preserve">experience of a </w:t>
            </w:r>
            <w:r>
              <w:t xml:space="preserve">recent </w:t>
            </w:r>
            <w:r w:rsidR="00D61449">
              <w:t xml:space="preserve">HR </w:t>
            </w:r>
            <w:r>
              <w:t xml:space="preserve">panel </w:t>
            </w:r>
            <w:r w:rsidR="00D61844">
              <w:t>stressed the polic</w:t>
            </w:r>
            <w:r w:rsidR="00B42326">
              <w:t>y needs</w:t>
            </w:r>
            <w:r>
              <w:t xml:space="preserve"> review</w:t>
            </w:r>
            <w:r w:rsidR="00B42326">
              <w:t xml:space="preserve">ed </w:t>
            </w:r>
            <w:r w:rsidR="00C13D47">
              <w:t xml:space="preserve">in particular </w:t>
            </w:r>
            <w:proofErr w:type="gramStart"/>
            <w:r w:rsidR="00B42326">
              <w:t>with regard to</w:t>
            </w:r>
            <w:proofErr w:type="gramEnd"/>
            <w:r w:rsidR="00B42326">
              <w:t xml:space="preserve"> the </w:t>
            </w:r>
            <w:r w:rsidR="00D61449">
              <w:t xml:space="preserve">escalation to </w:t>
            </w:r>
            <w:r w:rsidR="00B33F9C">
              <w:t>the</w:t>
            </w:r>
            <w:r w:rsidR="00D61449">
              <w:t xml:space="preserve"> G</w:t>
            </w:r>
            <w:r w:rsidR="00B33F9C">
              <w:t>overnor</w:t>
            </w:r>
            <w:r w:rsidR="00D61449">
              <w:t xml:space="preserve"> panel</w:t>
            </w:r>
            <w:r>
              <w:t>.</w:t>
            </w:r>
            <w:r w:rsidR="00D61449">
              <w:t xml:space="preserve">   The number of upcoming Governor panels was also noted</w:t>
            </w:r>
            <w:r w:rsidR="006A61E2">
              <w:t xml:space="preserve"> as a risk</w:t>
            </w:r>
            <w:r w:rsidR="00D61449">
              <w:t>.</w:t>
            </w:r>
          </w:p>
          <w:p w14:paraId="3FA5FB44" w14:textId="681ADFB1" w:rsidR="006917A4" w:rsidRDefault="006917A4" w:rsidP="006917A4">
            <w:pPr>
              <w:tabs>
                <w:tab w:val="right" w:pos="9026"/>
              </w:tabs>
            </w:pPr>
          </w:p>
          <w:p w14:paraId="517F6540" w14:textId="34851736" w:rsidR="003810A1" w:rsidRDefault="009C6F74" w:rsidP="003810A1">
            <w:pPr>
              <w:tabs>
                <w:tab w:val="right" w:pos="9026"/>
              </w:tabs>
            </w:pPr>
            <w:r>
              <w:t xml:space="preserve">P&amp;CE </w:t>
            </w:r>
            <w:r w:rsidR="00B33F9C">
              <w:t>reported</w:t>
            </w:r>
            <w:r w:rsidR="00D318D1">
              <w:t xml:space="preserve"> she will raise </w:t>
            </w:r>
            <w:r w:rsidR="00591449">
              <w:t xml:space="preserve">this </w:t>
            </w:r>
            <w:r w:rsidR="00D318D1">
              <w:t>at Principals’ Group.  It is a risk to the organisation not being compliant with the policy.</w:t>
            </w:r>
            <w:r w:rsidR="003810A1">
              <w:t xml:space="preserve">  This is a sector collective agreement as part of the </w:t>
            </w:r>
            <w:proofErr w:type="gramStart"/>
            <w:r w:rsidR="003810A1">
              <w:t>lecturers</w:t>
            </w:r>
            <w:proofErr w:type="gramEnd"/>
            <w:r w:rsidR="003810A1">
              <w:t xml:space="preserve"> contact negotiated </w:t>
            </w:r>
            <w:r w:rsidR="00F50838">
              <w:t>with</w:t>
            </w:r>
            <w:r w:rsidR="003810A1">
              <w:t xml:space="preserve"> the Trade Unions.</w:t>
            </w:r>
          </w:p>
          <w:p w14:paraId="6B2AD7F1" w14:textId="77777777" w:rsidR="00B60014" w:rsidRDefault="00B60014" w:rsidP="006917A4">
            <w:pPr>
              <w:tabs>
                <w:tab w:val="right" w:pos="9026"/>
              </w:tabs>
            </w:pPr>
          </w:p>
          <w:p w14:paraId="03DCCB85" w14:textId="1D4C9F0B" w:rsidR="00B60014" w:rsidRDefault="00591449" w:rsidP="006917A4">
            <w:pPr>
              <w:tabs>
                <w:tab w:val="right" w:pos="9026"/>
              </w:tabs>
            </w:pPr>
            <w:r>
              <w:t xml:space="preserve">HHR noted this had previously </w:t>
            </w:r>
            <w:r w:rsidR="00B60014">
              <w:t xml:space="preserve">been a specific risk on a previous Risk Register </w:t>
            </w:r>
            <w:r w:rsidR="006A61E2">
              <w:t>and should this arise again, the College</w:t>
            </w:r>
            <w:r w:rsidR="00E11634">
              <w:t xml:space="preserve"> </w:t>
            </w:r>
            <w:r w:rsidR="006A61E2">
              <w:t xml:space="preserve">may </w:t>
            </w:r>
            <w:r w:rsidR="00B60014">
              <w:t xml:space="preserve">not have enough </w:t>
            </w:r>
            <w:r>
              <w:t xml:space="preserve">Governors in post </w:t>
            </w:r>
            <w:r w:rsidR="00B60014">
              <w:t xml:space="preserve">to </w:t>
            </w:r>
            <w:r w:rsidR="00F50838">
              <w:t>affect</w:t>
            </w:r>
            <w:r w:rsidR="00B60014">
              <w:t xml:space="preserve"> a proper dismissal </w:t>
            </w:r>
            <w:r w:rsidR="006A61E2">
              <w:t xml:space="preserve">with “clean hands”, </w:t>
            </w:r>
            <w:r w:rsidR="00B60014">
              <w:t>to meet each stage of the process.</w:t>
            </w:r>
            <w:r w:rsidR="006736FE">
              <w:t xml:space="preserve">  </w:t>
            </w:r>
            <w:r w:rsidR="00B60014" w:rsidRPr="006736FE">
              <w:t xml:space="preserve">HHR will </w:t>
            </w:r>
            <w:r w:rsidR="006736FE" w:rsidRPr="006736FE">
              <w:t>confirm the number of Governors required to meet the process.</w:t>
            </w:r>
            <w:r w:rsidR="00F50838">
              <w:t xml:space="preserve"> </w:t>
            </w:r>
          </w:p>
          <w:p w14:paraId="6E4276FA" w14:textId="77777777" w:rsidR="003C0396" w:rsidRDefault="003C0396" w:rsidP="003C0396">
            <w:pPr>
              <w:tabs>
                <w:tab w:val="right" w:pos="9026"/>
              </w:tabs>
            </w:pPr>
          </w:p>
          <w:p w14:paraId="0C52506A" w14:textId="34134B7A" w:rsidR="0059761C" w:rsidRDefault="003D2A32" w:rsidP="00647119">
            <w:pPr>
              <w:tabs>
                <w:tab w:val="right" w:pos="9026"/>
              </w:tabs>
            </w:pPr>
            <w:r>
              <w:t>Chair asked all committee member</w:t>
            </w:r>
            <w:r w:rsidR="008160D7">
              <w:t xml:space="preserve">s, in </w:t>
            </w:r>
            <w:r w:rsidR="00D526E4">
              <w:t xml:space="preserve">support </w:t>
            </w:r>
            <w:r w:rsidR="008160D7">
              <w:t xml:space="preserve">of the </w:t>
            </w:r>
            <w:r w:rsidR="00D526E4">
              <w:t xml:space="preserve">HR team that prepare the report, </w:t>
            </w:r>
            <w:r w:rsidR="008160D7">
              <w:t xml:space="preserve">to </w:t>
            </w:r>
            <w:r>
              <w:t xml:space="preserve">reflect on the report and if there any areas </w:t>
            </w:r>
            <w:r w:rsidR="00D526E4">
              <w:t xml:space="preserve">that are not </w:t>
            </w:r>
            <w:r>
              <w:t>useful or i</w:t>
            </w:r>
            <w:r w:rsidR="00D526E4">
              <w:t>nsight</w:t>
            </w:r>
            <w:r>
              <w:t>ful</w:t>
            </w:r>
            <w:r w:rsidR="00D526E4">
              <w:t>, or areas that are essential</w:t>
            </w:r>
            <w:r w:rsidR="006A61E2">
              <w:t>,</w:t>
            </w:r>
            <w:r w:rsidR="00D526E4">
              <w:t xml:space="preserve"> to</w:t>
            </w:r>
            <w:r>
              <w:t xml:space="preserve"> let </w:t>
            </w:r>
            <w:r w:rsidR="00681B96">
              <w:t xml:space="preserve">her </w:t>
            </w:r>
            <w:r w:rsidR="00D526E4">
              <w:t xml:space="preserve">or </w:t>
            </w:r>
            <w:r w:rsidR="00E11634">
              <w:t xml:space="preserve">the </w:t>
            </w:r>
            <w:r w:rsidR="00D526E4">
              <w:t xml:space="preserve">Clerk </w:t>
            </w:r>
            <w:r w:rsidR="00681B96">
              <w:t xml:space="preserve">know.  </w:t>
            </w:r>
          </w:p>
          <w:p w14:paraId="01A215B5" w14:textId="77777777" w:rsidR="00B9031E" w:rsidRDefault="00B9031E" w:rsidP="00647119">
            <w:pPr>
              <w:tabs>
                <w:tab w:val="right" w:pos="9026"/>
              </w:tabs>
            </w:pPr>
          </w:p>
          <w:p w14:paraId="54879D79" w14:textId="396261D2" w:rsidR="00E3447D" w:rsidRPr="00647119" w:rsidRDefault="00647119" w:rsidP="001F53BE">
            <w:pPr>
              <w:tabs>
                <w:tab w:val="right" w:pos="9026"/>
              </w:tabs>
            </w:pPr>
            <w:r w:rsidRPr="003A0E39">
              <w:t>The C</w:t>
            </w:r>
            <w:r>
              <w:t>ommittee</w:t>
            </w:r>
            <w:r w:rsidRPr="00884AD7">
              <w:rPr>
                <w:b/>
                <w:bCs/>
                <w:u w:val="single"/>
              </w:rPr>
              <w:t xml:space="preserve"> note</w:t>
            </w:r>
            <w:r w:rsidR="00244E6A">
              <w:rPr>
                <w:b/>
                <w:bCs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71B107CA" w14:textId="77777777" w:rsidR="00E3447D" w:rsidRDefault="00E3447D" w:rsidP="001F53BE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E3447D" w14:paraId="306300AD" w14:textId="77777777" w:rsidTr="00B071A0">
        <w:tc>
          <w:tcPr>
            <w:tcW w:w="1844" w:type="dxa"/>
          </w:tcPr>
          <w:p w14:paraId="159078D3" w14:textId="63603DCC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2604B4">
              <w:rPr>
                <w:b/>
                <w:color w:val="1F4E79" w:themeColor="accent5" w:themeShade="80"/>
              </w:rPr>
              <w:t>19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2FF5C7CA" w14:textId="5AD26687" w:rsidR="00E3447D" w:rsidRDefault="00E3447D" w:rsidP="001F53BE">
            <w:pPr>
              <w:tabs>
                <w:tab w:val="right" w:pos="9026"/>
              </w:tabs>
              <w:rPr>
                <w:b/>
              </w:rPr>
            </w:pPr>
          </w:p>
          <w:p w14:paraId="02FE4A88" w14:textId="4FC52AEE" w:rsidR="00E3447D" w:rsidRDefault="00E3447D" w:rsidP="00436E6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</w:tc>
        <w:tc>
          <w:tcPr>
            <w:tcW w:w="7796" w:type="dxa"/>
          </w:tcPr>
          <w:p w14:paraId="14CBBC1B" w14:textId="63361A1F" w:rsidR="00021F1E" w:rsidRDefault="00220E40" w:rsidP="00021F1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Principal &amp; </w:t>
            </w:r>
            <w:r w:rsidR="00A44D2F">
              <w:rPr>
                <w:b/>
              </w:rPr>
              <w:t>C</w:t>
            </w:r>
            <w:r>
              <w:rPr>
                <w:b/>
              </w:rPr>
              <w:t>hief Executive Update</w:t>
            </w:r>
          </w:p>
          <w:p w14:paraId="5FDCAB3D" w14:textId="77777777" w:rsidR="00681B96" w:rsidRDefault="00681B96" w:rsidP="00021F1E">
            <w:pPr>
              <w:tabs>
                <w:tab w:val="right" w:pos="9026"/>
              </w:tabs>
              <w:rPr>
                <w:b/>
              </w:rPr>
            </w:pPr>
          </w:p>
          <w:p w14:paraId="18632565" w14:textId="6AC61CCB" w:rsidR="00DA10EC" w:rsidRPr="00436E6E" w:rsidRDefault="00436E6E" w:rsidP="00021F1E">
            <w:pPr>
              <w:tabs>
                <w:tab w:val="right" w:pos="9026"/>
              </w:tabs>
              <w:rPr>
                <w:bCs/>
              </w:rPr>
            </w:pPr>
            <w:r w:rsidRPr="00436E6E">
              <w:rPr>
                <w:bCs/>
              </w:rPr>
              <w:t xml:space="preserve">P&amp;CE gave an update on </w:t>
            </w:r>
            <w:r w:rsidR="001B7537">
              <w:rPr>
                <w:bCs/>
              </w:rPr>
              <w:t>h</w:t>
            </w:r>
            <w:r w:rsidRPr="00436E6E">
              <w:rPr>
                <w:bCs/>
              </w:rPr>
              <w:t xml:space="preserve">ow </w:t>
            </w:r>
            <w:r w:rsidR="00920BF4">
              <w:rPr>
                <w:bCs/>
              </w:rPr>
              <w:t>redundancy consultation</w:t>
            </w:r>
            <w:r w:rsidR="001B7537">
              <w:rPr>
                <w:bCs/>
              </w:rPr>
              <w:t>s</w:t>
            </w:r>
            <w:r w:rsidR="00920BF4">
              <w:rPr>
                <w:bCs/>
              </w:rPr>
              <w:t xml:space="preserve"> are </w:t>
            </w:r>
            <w:r w:rsidRPr="00436E6E">
              <w:rPr>
                <w:bCs/>
              </w:rPr>
              <w:t>progressing with the TU</w:t>
            </w:r>
            <w:r w:rsidR="001B7537">
              <w:rPr>
                <w:bCs/>
              </w:rPr>
              <w:t>s</w:t>
            </w:r>
            <w:r w:rsidR="004C7381">
              <w:rPr>
                <w:bCs/>
              </w:rPr>
              <w:t xml:space="preserve"> and on the potential lengthening of </w:t>
            </w:r>
            <w:r w:rsidR="006A61E2">
              <w:rPr>
                <w:bCs/>
              </w:rPr>
              <w:t xml:space="preserve">the proposed </w:t>
            </w:r>
            <w:r w:rsidR="004C7381">
              <w:rPr>
                <w:bCs/>
              </w:rPr>
              <w:t>timeline.</w:t>
            </w:r>
            <w:r w:rsidR="00E06514">
              <w:rPr>
                <w:bCs/>
              </w:rPr>
              <w:t xml:space="preserve">  </w:t>
            </w:r>
            <w:r w:rsidR="000B4BC3">
              <w:rPr>
                <w:bCs/>
              </w:rPr>
              <w:t>The e</w:t>
            </w:r>
            <w:r w:rsidR="00DA10EC">
              <w:rPr>
                <w:bCs/>
              </w:rPr>
              <w:t xml:space="preserve">nd March </w:t>
            </w:r>
            <w:r w:rsidR="00DD3392">
              <w:rPr>
                <w:bCs/>
              </w:rPr>
              <w:t>deadline is</w:t>
            </w:r>
            <w:r w:rsidR="000B4BC3">
              <w:rPr>
                <w:bCs/>
              </w:rPr>
              <w:t xml:space="preserve"> due to</w:t>
            </w:r>
            <w:r w:rsidR="00DD3392">
              <w:rPr>
                <w:bCs/>
              </w:rPr>
              <w:t xml:space="preserve"> DfE funding availability.</w:t>
            </w:r>
          </w:p>
          <w:p w14:paraId="08024CDB" w14:textId="77777777" w:rsidR="004E287E" w:rsidRDefault="004E287E" w:rsidP="00021F1E">
            <w:pPr>
              <w:tabs>
                <w:tab w:val="right" w:pos="9026"/>
              </w:tabs>
            </w:pPr>
          </w:p>
          <w:p w14:paraId="46DA7A83" w14:textId="6C3EF3B4" w:rsidR="008F6941" w:rsidRDefault="0069609E" w:rsidP="00021F1E">
            <w:pPr>
              <w:tabs>
                <w:tab w:val="right" w:pos="9026"/>
              </w:tabs>
            </w:pPr>
            <w:r>
              <w:t xml:space="preserve">Committee member raised the </w:t>
            </w:r>
            <w:r w:rsidR="00295441">
              <w:t>next staff survey date in Spring 2024</w:t>
            </w:r>
            <w:r w:rsidR="00924B96">
              <w:t xml:space="preserve"> and </w:t>
            </w:r>
            <w:r w:rsidR="006A61E2">
              <w:t xml:space="preserve">queried </w:t>
            </w:r>
            <w:r w:rsidR="00924B96">
              <w:t>if that date should be revisited.</w:t>
            </w:r>
            <w:r w:rsidR="00295441">
              <w:t xml:space="preserve"> </w:t>
            </w:r>
            <w:r w:rsidR="00A42A70">
              <w:t xml:space="preserve">  </w:t>
            </w:r>
            <w:r>
              <w:t>P&amp;CE thanked Committee for this suggestion</w:t>
            </w:r>
            <w:r w:rsidR="00D856AB">
              <w:t xml:space="preserve"> and </w:t>
            </w:r>
            <w:r w:rsidR="006A61E2">
              <w:t>took on board the views that the timing of the survey would result in skewed feedback given the current environment.  Will take this back to the team to determine</w:t>
            </w:r>
            <w:r w:rsidR="002F2D4A">
              <w:t xml:space="preserve"> a more</w:t>
            </w:r>
            <w:r w:rsidR="008F6941">
              <w:t xml:space="preserve"> appropriate survey</w:t>
            </w:r>
            <w:r w:rsidR="002F2D4A">
              <w:t xml:space="preserve"> date</w:t>
            </w:r>
            <w:r w:rsidR="008F6941">
              <w:t>.</w:t>
            </w:r>
          </w:p>
          <w:p w14:paraId="69740A9F" w14:textId="77777777" w:rsidR="00313CB7" w:rsidRDefault="00313CB7" w:rsidP="00021F1E">
            <w:pPr>
              <w:tabs>
                <w:tab w:val="right" w:pos="9026"/>
              </w:tabs>
            </w:pPr>
          </w:p>
          <w:p w14:paraId="2227E6E0" w14:textId="6A89FA95" w:rsidR="00A42A70" w:rsidRDefault="00021F1E" w:rsidP="00021F1E">
            <w:pPr>
              <w:tabs>
                <w:tab w:val="right" w:pos="9026"/>
              </w:tabs>
              <w:rPr>
                <w:b/>
              </w:rPr>
            </w:pPr>
            <w:r w:rsidRPr="00021F1E">
              <w:t xml:space="preserve">The Committee </w:t>
            </w:r>
            <w:r w:rsidR="00A42A70" w:rsidRPr="008F6941">
              <w:rPr>
                <w:b/>
                <w:u w:val="single"/>
              </w:rPr>
              <w:t>approved</w:t>
            </w:r>
            <w:r w:rsidR="00A42A70">
              <w:rPr>
                <w:b/>
              </w:rPr>
              <w:t xml:space="preserve"> </w:t>
            </w:r>
            <w:r w:rsidR="00313CB7">
              <w:rPr>
                <w:bCs/>
              </w:rPr>
              <w:t>t</w:t>
            </w:r>
            <w:r w:rsidR="00CB7DDC">
              <w:rPr>
                <w:bCs/>
              </w:rPr>
              <w:t>he</w:t>
            </w:r>
            <w:r w:rsidR="00313CB7">
              <w:rPr>
                <w:bCs/>
              </w:rPr>
              <w:t xml:space="preserve"> </w:t>
            </w:r>
            <w:r w:rsidR="008F6941">
              <w:rPr>
                <w:bCs/>
              </w:rPr>
              <w:t>defer</w:t>
            </w:r>
            <w:r w:rsidR="00CB7DDC">
              <w:rPr>
                <w:bCs/>
              </w:rPr>
              <w:t>ment of</w:t>
            </w:r>
            <w:r w:rsidR="008F6941">
              <w:rPr>
                <w:bCs/>
              </w:rPr>
              <w:t xml:space="preserve"> the</w:t>
            </w:r>
            <w:r w:rsidR="00A42A70" w:rsidRPr="00A42A70">
              <w:rPr>
                <w:bCs/>
              </w:rPr>
              <w:t xml:space="preserve"> staff survey</w:t>
            </w:r>
            <w:r w:rsidR="00CB7DDC">
              <w:rPr>
                <w:bCs/>
              </w:rPr>
              <w:t xml:space="preserve"> to later in 2024.</w:t>
            </w:r>
          </w:p>
          <w:p w14:paraId="3E8E094F" w14:textId="77777777" w:rsidR="00A42A70" w:rsidRDefault="00A42A70" w:rsidP="00021F1E">
            <w:pPr>
              <w:tabs>
                <w:tab w:val="right" w:pos="9026"/>
              </w:tabs>
              <w:rPr>
                <w:b/>
                <w:u w:val="single"/>
              </w:rPr>
            </w:pPr>
          </w:p>
          <w:p w14:paraId="6EC27BC2" w14:textId="15555374" w:rsidR="00021F1E" w:rsidRDefault="00A42A70" w:rsidP="00021F1E">
            <w:pPr>
              <w:tabs>
                <w:tab w:val="right" w:pos="9026"/>
              </w:tabs>
            </w:pPr>
            <w:r w:rsidRPr="00A42A70">
              <w:rPr>
                <w:bCs/>
              </w:rPr>
              <w:t>The Committee</w:t>
            </w:r>
            <w:r>
              <w:rPr>
                <w:b/>
                <w:u w:val="single"/>
              </w:rPr>
              <w:t xml:space="preserve"> </w:t>
            </w:r>
            <w:r w:rsidR="00021F1E" w:rsidRPr="00021F1E">
              <w:rPr>
                <w:b/>
                <w:u w:val="single"/>
              </w:rPr>
              <w:t>note</w:t>
            </w:r>
            <w:r w:rsidR="00681B96">
              <w:rPr>
                <w:b/>
                <w:u w:val="single"/>
              </w:rPr>
              <w:t>d</w:t>
            </w:r>
            <w:r w:rsidR="00021F1E" w:rsidRPr="00021F1E">
              <w:t xml:space="preserve"> th</w:t>
            </w:r>
            <w:r w:rsidR="00A44D07">
              <w:t>e update</w:t>
            </w:r>
            <w:r w:rsidR="00021F1E" w:rsidRPr="00021F1E">
              <w:t xml:space="preserve"> and the action taken by Management.</w:t>
            </w:r>
          </w:p>
          <w:p w14:paraId="0DF725EE" w14:textId="77777777" w:rsidR="00947EB5" w:rsidRDefault="00947EB5" w:rsidP="00021F1E">
            <w:pPr>
              <w:tabs>
                <w:tab w:val="right" w:pos="9026"/>
              </w:tabs>
            </w:pPr>
          </w:p>
          <w:p w14:paraId="32E7B39C" w14:textId="38949CBE" w:rsidR="00947EB5" w:rsidRPr="00021F1E" w:rsidRDefault="00947EB5" w:rsidP="00021F1E">
            <w:pPr>
              <w:tabs>
                <w:tab w:val="right" w:pos="9026"/>
              </w:tabs>
            </w:pPr>
            <w:r>
              <w:t>The Chair thank</w:t>
            </w:r>
            <w:r w:rsidR="00C43526">
              <w:t>ed</w:t>
            </w:r>
            <w:r>
              <w:t xml:space="preserve"> the P&amp;CE and HHR </w:t>
            </w:r>
            <w:r w:rsidR="00C43526">
              <w:t>for their inputs and asked Governors to</w:t>
            </w:r>
            <w:r w:rsidR="00E308E0">
              <w:t xml:space="preserve"> </w:t>
            </w:r>
            <w:r w:rsidR="00E45670">
              <w:t xml:space="preserve">continue to be </w:t>
            </w:r>
            <w:r w:rsidR="003A3380">
              <w:t xml:space="preserve">as </w:t>
            </w:r>
            <w:r w:rsidR="00E45670">
              <w:t>responsive as much as possible</w:t>
            </w:r>
            <w:r w:rsidR="007D5F24">
              <w:t xml:space="preserve"> to request for HR panels</w:t>
            </w:r>
            <w:r w:rsidR="00E308E0">
              <w:t>.</w:t>
            </w:r>
            <w:r w:rsidR="003A3380">
              <w:t xml:space="preserve">   </w:t>
            </w:r>
          </w:p>
          <w:p w14:paraId="3A177151" w14:textId="77777777" w:rsidR="00E3447D" w:rsidRPr="00DA6BA9" w:rsidRDefault="00E3447D" w:rsidP="001F53BE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E3447D" w14:paraId="68BE66B8" w14:textId="77777777" w:rsidTr="00B071A0">
        <w:trPr>
          <w:trHeight w:val="224"/>
        </w:trPr>
        <w:tc>
          <w:tcPr>
            <w:tcW w:w="1844" w:type="dxa"/>
          </w:tcPr>
          <w:p w14:paraId="611DB4ED" w14:textId="34C34CDD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2604B4">
              <w:rPr>
                <w:b/>
                <w:color w:val="1F4E79" w:themeColor="accent5" w:themeShade="80"/>
              </w:rPr>
              <w:t>20</w:t>
            </w:r>
            <w:r w:rsidR="00905ADF">
              <w:rPr>
                <w:b/>
                <w:color w:val="1F4E79" w:themeColor="accent5" w:themeShade="80"/>
              </w:rPr>
              <w:t xml:space="preserve"> </w:t>
            </w:r>
            <w:r>
              <w:rPr>
                <w:b/>
                <w:color w:val="1F4E79" w:themeColor="accent5" w:themeShade="80"/>
              </w:rPr>
              <w:t>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  <w:r w:rsidRPr="002E27B3">
              <w:rPr>
                <w:b/>
                <w:color w:val="1F4E79" w:themeColor="accent5" w:themeShade="80"/>
              </w:rPr>
              <w:t xml:space="preserve"> </w:t>
            </w:r>
            <w:r>
              <w:rPr>
                <w:b/>
                <w:color w:val="1F4E79" w:themeColor="accent5" w:themeShade="80"/>
              </w:rPr>
              <w:t xml:space="preserve"> </w:t>
            </w:r>
          </w:p>
          <w:p w14:paraId="4BB2DE42" w14:textId="77777777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280574FA" w14:textId="4B14D662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</w:tc>
        <w:tc>
          <w:tcPr>
            <w:tcW w:w="7796" w:type="dxa"/>
          </w:tcPr>
          <w:p w14:paraId="74655CFB" w14:textId="77777777" w:rsidR="00E3447D" w:rsidRPr="00DA6BA9" w:rsidRDefault="00E3447D" w:rsidP="001F53BE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Any Other Business </w:t>
            </w:r>
          </w:p>
          <w:p w14:paraId="6FACF1EE" w14:textId="77777777" w:rsidR="00E3447D" w:rsidRDefault="00E3447D" w:rsidP="001F53BE">
            <w:pPr>
              <w:tabs>
                <w:tab w:val="right" w:pos="9026"/>
              </w:tabs>
            </w:pPr>
          </w:p>
          <w:p w14:paraId="14973E97" w14:textId="03F353D3" w:rsidR="00E3447D" w:rsidRDefault="00E3447D" w:rsidP="00B80E74">
            <w:pPr>
              <w:rPr>
                <w:rFonts w:cs="Arial"/>
              </w:rPr>
            </w:pPr>
            <w:r>
              <w:rPr>
                <w:rFonts w:cs="Arial"/>
              </w:rPr>
              <w:t xml:space="preserve">No items of AOB </w:t>
            </w:r>
            <w:r w:rsidR="00B80E74">
              <w:rPr>
                <w:rFonts w:cs="Arial"/>
              </w:rPr>
              <w:t>raised</w:t>
            </w:r>
            <w:r w:rsidR="009F2F42">
              <w:rPr>
                <w:rFonts w:cs="Arial"/>
              </w:rPr>
              <w:t>.</w:t>
            </w:r>
          </w:p>
          <w:p w14:paraId="606A4AA4" w14:textId="081479F4" w:rsidR="005C39F1" w:rsidRPr="00DB549C" w:rsidRDefault="005C39F1" w:rsidP="00B80E74">
            <w:pPr>
              <w:rPr>
                <w:b/>
                <w:bCs/>
              </w:rPr>
            </w:pPr>
          </w:p>
        </w:tc>
      </w:tr>
      <w:tr w:rsidR="00E3447D" w14:paraId="349CA924" w14:textId="77777777" w:rsidTr="00B071A0">
        <w:trPr>
          <w:trHeight w:val="224"/>
        </w:trPr>
        <w:tc>
          <w:tcPr>
            <w:tcW w:w="1844" w:type="dxa"/>
          </w:tcPr>
          <w:p w14:paraId="6B778552" w14:textId="449065DE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2604B4">
              <w:rPr>
                <w:b/>
                <w:color w:val="1F4E79" w:themeColor="accent5" w:themeShade="80"/>
              </w:rPr>
              <w:t>21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63428AE1" w14:textId="77777777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  <w:p w14:paraId="0AD6CFC1" w14:textId="797145CA" w:rsidR="00E3447D" w:rsidRDefault="00E3447D" w:rsidP="001F53BE">
            <w:pPr>
              <w:tabs>
                <w:tab w:val="right" w:pos="9026"/>
              </w:tabs>
              <w:rPr>
                <w:b/>
                <w:color w:val="1F4E79" w:themeColor="accent5" w:themeShade="80"/>
              </w:rPr>
            </w:pPr>
          </w:p>
        </w:tc>
        <w:tc>
          <w:tcPr>
            <w:tcW w:w="7796" w:type="dxa"/>
          </w:tcPr>
          <w:p w14:paraId="6DECD5CF" w14:textId="77777777" w:rsidR="00E3447D" w:rsidRDefault="00E3447D" w:rsidP="001F53B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evaluation </w:t>
            </w:r>
          </w:p>
          <w:p w14:paraId="31D356F8" w14:textId="77777777" w:rsidR="00E3447D" w:rsidRDefault="00E3447D" w:rsidP="001F53BE">
            <w:pPr>
              <w:tabs>
                <w:tab w:val="right" w:pos="9026"/>
              </w:tabs>
              <w:rPr>
                <w:b/>
              </w:rPr>
            </w:pPr>
          </w:p>
          <w:p w14:paraId="17D7C6CA" w14:textId="3F562B4D" w:rsidR="00E3447D" w:rsidRDefault="00251E89" w:rsidP="001F53BE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Committee members</w:t>
            </w:r>
            <w:r w:rsidR="00B95AF6">
              <w:rPr>
                <w:bCs/>
              </w:rPr>
              <w:t xml:space="preserve"> </w:t>
            </w:r>
            <w:r w:rsidR="009D7604">
              <w:rPr>
                <w:bCs/>
              </w:rPr>
              <w:t>agreed conduct of the meeting provide</w:t>
            </w:r>
            <w:r w:rsidR="001A1B0C">
              <w:rPr>
                <w:bCs/>
              </w:rPr>
              <w:t>d</w:t>
            </w:r>
            <w:r w:rsidR="009D7604">
              <w:rPr>
                <w:bCs/>
              </w:rPr>
              <w:t xml:space="preserve"> evidence of the Governing Body’s commitment as set out at </w:t>
            </w:r>
            <w:r w:rsidR="009D7604" w:rsidRPr="00A9512E">
              <w:rPr>
                <w:b/>
                <w:color w:val="BF8F00" w:themeColor="accent4" w:themeShade="BF"/>
              </w:rPr>
              <w:t>HR</w:t>
            </w:r>
            <w:r w:rsidR="009821B2" w:rsidRPr="00A9512E">
              <w:rPr>
                <w:b/>
                <w:color w:val="BF8F00" w:themeColor="accent4" w:themeShade="BF"/>
              </w:rPr>
              <w:t>12</w:t>
            </w:r>
            <w:r w:rsidR="00A9512E" w:rsidRPr="00A9512E">
              <w:rPr>
                <w:b/>
                <w:color w:val="BF8F00" w:themeColor="accent4" w:themeShade="BF"/>
              </w:rPr>
              <w:t xml:space="preserve"> 23/24</w:t>
            </w:r>
            <w:r w:rsidR="00A9512E" w:rsidRPr="00A9512E">
              <w:rPr>
                <w:bCs/>
                <w:color w:val="BF8F00" w:themeColor="accent4" w:themeShade="BF"/>
              </w:rPr>
              <w:t xml:space="preserve"> </w:t>
            </w:r>
            <w:r w:rsidR="00A9512E">
              <w:rPr>
                <w:bCs/>
              </w:rPr>
              <w:t>above.</w:t>
            </w:r>
          </w:p>
          <w:p w14:paraId="13BC29CF" w14:textId="73B8E937" w:rsidR="00A9512E" w:rsidRPr="008E785E" w:rsidRDefault="00A9512E" w:rsidP="001F53BE">
            <w:pPr>
              <w:tabs>
                <w:tab w:val="right" w:pos="9026"/>
              </w:tabs>
              <w:rPr>
                <w:bCs/>
              </w:rPr>
            </w:pPr>
          </w:p>
        </w:tc>
      </w:tr>
      <w:tr w:rsidR="00E3447D" w14:paraId="5F076890" w14:textId="77777777" w:rsidTr="00B071A0">
        <w:tc>
          <w:tcPr>
            <w:tcW w:w="1844" w:type="dxa"/>
          </w:tcPr>
          <w:p w14:paraId="791193BB" w14:textId="272B0856" w:rsidR="00E3447D" w:rsidRDefault="00E3447D" w:rsidP="001F53BE">
            <w:pPr>
              <w:rPr>
                <w:b/>
                <w:color w:val="1F4E79" w:themeColor="accent5" w:themeShade="80"/>
              </w:rPr>
            </w:pPr>
            <w:r>
              <w:rPr>
                <w:b/>
                <w:color w:val="1F4E79" w:themeColor="accent5" w:themeShade="80"/>
              </w:rPr>
              <w:t>HR</w:t>
            </w:r>
            <w:r w:rsidR="00A269DB">
              <w:rPr>
                <w:b/>
                <w:color w:val="1F4E79" w:themeColor="accent5" w:themeShade="80"/>
              </w:rPr>
              <w:t>22</w:t>
            </w:r>
            <w:r>
              <w:rPr>
                <w:b/>
                <w:color w:val="1F4E79" w:themeColor="accent5" w:themeShade="80"/>
              </w:rPr>
              <w:t xml:space="preserve"> 2</w:t>
            </w:r>
            <w:r w:rsidR="00905ADF">
              <w:rPr>
                <w:b/>
                <w:color w:val="1F4E79" w:themeColor="accent5" w:themeShade="80"/>
              </w:rPr>
              <w:t>3</w:t>
            </w:r>
            <w:r>
              <w:rPr>
                <w:b/>
                <w:color w:val="1F4E79" w:themeColor="accent5" w:themeShade="80"/>
              </w:rPr>
              <w:t>/2</w:t>
            </w:r>
            <w:r w:rsidR="00905ADF">
              <w:rPr>
                <w:b/>
                <w:color w:val="1F4E79" w:themeColor="accent5" w:themeShade="80"/>
              </w:rPr>
              <w:t>4</w:t>
            </w:r>
          </w:p>
          <w:p w14:paraId="325D5BFA" w14:textId="77777777" w:rsidR="00E3447D" w:rsidRDefault="00E3447D" w:rsidP="001F53BE">
            <w:pPr>
              <w:rPr>
                <w:b/>
                <w:color w:val="1F4E79" w:themeColor="accent5" w:themeShade="80"/>
              </w:rPr>
            </w:pPr>
          </w:p>
          <w:p w14:paraId="51E81B22" w14:textId="77777777" w:rsidR="00E3447D" w:rsidRDefault="00E3447D" w:rsidP="001F53BE">
            <w:pPr>
              <w:rPr>
                <w:b/>
                <w:color w:val="1F4E79" w:themeColor="accent5" w:themeShade="80"/>
              </w:rPr>
            </w:pPr>
          </w:p>
          <w:p w14:paraId="5065CAA2" w14:textId="77777777" w:rsidR="00E3447D" w:rsidRPr="00B0563F" w:rsidRDefault="00E3447D" w:rsidP="001F53BE">
            <w:pPr>
              <w:rPr>
                <w:b/>
                <w:color w:val="1F4E79" w:themeColor="accent5" w:themeShade="80"/>
              </w:rPr>
            </w:pPr>
          </w:p>
        </w:tc>
        <w:tc>
          <w:tcPr>
            <w:tcW w:w="7796" w:type="dxa"/>
          </w:tcPr>
          <w:p w14:paraId="5292FA12" w14:textId="13A40ED5" w:rsidR="00503884" w:rsidRPr="00C0209C" w:rsidRDefault="00357122" w:rsidP="00714E23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Date of next meeting</w:t>
            </w:r>
            <w:r w:rsidR="00714E23">
              <w:rPr>
                <w:b/>
              </w:rPr>
              <w:tab/>
            </w:r>
          </w:p>
          <w:p w14:paraId="6B905888" w14:textId="77777777" w:rsidR="00503884" w:rsidRDefault="00503884" w:rsidP="00503884">
            <w:pPr>
              <w:tabs>
                <w:tab w:val="right" w:pos="9026"/>
              </w:tabs>
            </w:pPr>
          </w:p>
          <w:p w14:paraId="1BA14B00" w14:textId="67459D88" w:rsidR="00503884" w:rsidRDefault="00503884" w:rsidP="00503884">
            <w:pPr>
              <w:tabs>
                <w:tab w:val="right" w:pos="9026"/>
              </w:tabs>
            </w:pPr>
            <w:r w:rsidRPr="00FC494B">
              <w:rPr>
                <w:b/>
                <w:bCs/>
              </w:rPr>
              <w:t>Governance Programme 2023/</w:t>
            </w:r>
            <w:proofErr w:type="gramStart"/>
            <w:r w:rsidRPr="00FC494B">
              <w:rPr>
                <w:b/>
                <w:bCs/>
              </w:rPr>
              <w:t>24  Cycle</w:t>
            </w:r>
            <w:proofErr w:type="gramEnd"/>
            <w:r w:rsidRPr="00FC494B">
              <w:rPr>
                <w:b/>
                <w:bCs/>
              </w:rPr>
              <w:t xml:space="preserve"> </w:t>
            </w:r>
            <w:r w:rsidR="00F958EE">
              <w:rPr>
                <w:b/>
                <w:bCs/>
              </w:rPr>
              <w:t>3</w:t>
            </w:r>
            <w:r>
              <w:t xml:space="preserve">: The </w:t>
            </w:r>
            <w:r w:rsidR="00F958EE">
              <w:t>third</w:t>
            </w:r>
            <w:r w:rsidRPr="00FC494B">
              <w:rPr>
                <w:b/>
                <w:bCs/>
              </w:rPr>
              <w:t xml:space="preserve"> </w:t>
            </w:r>
            <w:r>
              <w:t xml:space="preserve">meeting of the Human Resources Committee in 2023/24 will be held at </w:t>
            </w:r>
            <w:r w:rsidRPr="00C0209C">
              <w:rPr>
                <w:b/>
                <w:bCs/>
                <w:color w:val="C45911" w:themeColor="accent2" w:themeShade="BF"/>
                <w:u w:val="single"/>
              </w:rPr>
              <w:t xml:space="preserve">3.00pm on Monday </w:t>
            </w:r>
            <w:r w:rsidR="00F958EE">
              <w:rPr>
                <w:b/>
                <w:bCs/>
                <w:color w:val="C45911" w:themeColor="accent2" w:themeShade="BF"/>
                <w:u w:val="single"/>
              </w:rPr>
              <w:t>11 March</w:t>
            </w:r>
            <w:r w:rsidRPr="00C0209C">
              <w:rPr>
                <w:b/>
                <w:bCs/>
                <w:color w:val="C45911" w:themeColor="accent2" w:themeShade="BF"/>
                <w:u w:val="single"/>
              </w:rPr>
              <w:t xml:space="preserve"> 202</w:t>
            </w:r>
            <w:r w:rsidR="00F958EE">
              <w:rPr>
                <w:b/>
                <w:bCs/>
                <w:color w:val="C45911" w:themeColor="accent2" w:themeShade="BF"/>
                <w:u w:val="single"/>
              </w:rPr>
              <w:t>4</w:t>
            </w:r>
            <w:r w:rsidRPr="00C0209C">
              <w:rPr>
                <w:b/>
                <w:bCs/>
                <w:color w:val="C45911" w:themeColor="accent2" w:themeShade="BF"/>
                <w:u w:val="single"/>
              </w:rPr>
              <w:t xml:space="preserve"> </w:t>
            </w:r>
            <w:r>
              <w:t xml:space="preserve">in the Titanic Quarter Boardroom and via MS Teams.  </w:t>
            </w:r>
            <w:r>
              <w:rPr>
                <w:b/>
                <w:color w:val="1F4E79" w:themeColor="accent5" w:themeShade="80"/>
              </w:rPr>
              <w:t xml:space="preserve">HR24 22/23 </w:t>
            </w:r>
            <w:r w:rsidR="008E2E26">
              <w:rPr>
                <w:b/>
                <w:color w:val="1F4E79" w:themeColor="accent5" w:themeShade="80"/>
              </w:rPr>
              <w:t xml:space="preserve">5 December 2022 </w:t>
            </w:r>
            <w:r w:rsidR="008E2E26" w:rsidRPr="008E2E26">
              <w:rPr>
                <w:bCs/>
              </w:rPr>
              <w:t>refers.</w:t>
            </w:r>
          </w:p>
          <w:p w14:paraId="460B694F" w14:textId="159F6ACA" w:rsidR="00E3447D" w:rsidRDefault="00BF7AC3" w:rsidP="00BF7AC3">
            <w:pPr>
              <w:tabs>
                <w:tab w:val="left" w:pos="5497"/>
              </w:tabs>
            </w:pPr>
            <w:r>
              <w:tab/>
            </w:r>
          </w:p>
          <w:p w14:paraId="30D2359B" w14:textId="55C7E832" w:rsidR="006B1F3F" w:rsidRDefault="006B1F3F" w:rsidP="006B1F3F">
            <w:r>
              <w:t xml:space="preserve">The meeting ended at </w:t>
            </w:r>
            <w:r w:rsidR="00C41955">
              <w:t>4.15</w:t>
            </w:r>
            <w:r w:rsidR="00436E6E">
              <w:t>p</w:t>
            </w:r>
            <w:r>
              <w:t>m</w:t>
            </w:r>
            <w:r w:rsidR="00C41955">
              <w:t>.</w:t>
            </w:r>
          </w:p>
          <w:p w14:paraId="3ED3D10B" w14:textId="7B897489" w:rsidR="003A7E76" w:rsidRDefault="003A7E76" w:rsidP="00436E6E"/>
        </w:tc>
      </w:tr>
    </w:tbl>
    <w:p w14:paraId="0602BB9B" w14:textId="77777777" w:rsidR="003A7E76" w:rsidRDefault="003A7E76" w:rsidP="00A67F32">
      <w:pPr>
        <w:jc w:val="both"/>
      </w:pPr>
    </w:p>
    <w:p w14:paraId="060B8939" w14:textId="79B5A8B1" w:rsidR="5F9D7320" w:rsidRPr="001F53BE" w:rsidRDefault="5F9D7320" w:rsidP="001F53BE">
      <w:pPr>
        <w:spacing w:after="0" w:line="240" w:lineRule="auto"/>
        <w:jc w:val="both"/>
        <w:rPr>
          <w:b/>
          <w:bCs/>
        </w:rPr>
      </w:pPr>
      <w:r w:rsidRPr="001F53BE">
        <w:rPr>
          <w:b/>
          <w:bCs/>
        </w:rPr>
        <w:t>Chair of Belfast Metropolitan College</w:t>
      </w:r>
      <w:r w:rsidR="001F53BE" w:rsidRPr="001F53BE">
        <w:rPr>
          <w:b/>
          <w:bCs/>
        </w:rPr>
        <w:tab/>
      </w:r>
      <w:r w:rsidR="001F53BE" w:rsidRPr="001F53BE">
        <w:rPr>
          <w:b/>
          <w:bCs/>
        </w:rPr>
        <w:tab/>
      </w:r>
      <w:r w:rsidR="001F53BE" w:rsidRPr="001F53BE">
        <w:rPr>
          <w:b/>
          <w:bCs/>
        </w:rPr>
        <w:tab/>
      </w:r>
      <w:r w:rsidR="001F53BE" w:rsidRPr="001F53BE">
        <w:rPr>
          <w:b/>
          <w:bCs/>
        </w:rPr>
        <w:tab/>
      </w:r>
      <w:r w:rsidR="001F53BE" w:rsidRPr="001F53BE">
        <w:rPr>
          <w:b/>
          <w:bCs/>
        </w:rPr>
        <w:tab/>
        <w:t>Lauren McAteer</w:t>
      </w:r>
    </w:p>
    <w:p w14:paraId="455AB906" w14:textId="33CBB17E" w:rsidR="5F9D7320" w:rsidRPr="001F53BE" w:rsidRDefault="5F9D7320" w:rsidP="001F53BE">
      <w:pPr>
        <w:spacing w:after="0" w:line="240" w:lineRule="auto"/>
        <w:jc w:val="both"/>
        <w:rPr>
          <w:b/>
          <w:bCs/>
        </w:rPr>
      </w:pPr>
      <w:r w:rsidRPr="001F53BE">
        <w:rPr>
          <w:b/>
          <w:bCs/>
        </w:rPr>
        <w:t>Hum</w:t>
      </w:r>
      <w:r w:rsidR="001F53BE" w:rsidRPr="001F53BE">
        <w:rPr>
          <w:b/>
          <w:bCs/>
        </w:rPr>
        <w:t>an</w:t>
      </w:r>
      <w:r w:rsidRPr="001F53BE">
        <w:rPr>
          <w:b/>
          <w:bCs/>
        </w:rPr>
        <w:t xml:space="preserve"> Resources Committee</w:t>
      </w:r>
    </w:p>
    <w:p w14:paraId="6DBA1DA3" w14:textId="009B1502" w:rsidR="00A67F32" w:rsidRPr="001F53BE" w:rsidRDefault="00A67F32" w:rsidP="00A67F32">
      <w:pPr>
        <w:jc w:val="center"/>
        <w:rPr>
          <w:b/>
          <w:bCs/>
        </w:rPr>
      </w:pPr>
    </w:p>
    <w:p w14:paraId="59007417" w14:textId="77777777" w:rsidR="001F53BE" w:rsidRPr="001F53BE" w:rsidRDefault="001F53BE" w:rsidP="00A67F32">
      <w:pPr>
        <w:jc w:val="center"/>
        <w:rPr>
          <w:b/>
          <w:bCs/>
        </w:rPr>
      </w:pPr>
    </w:p>
    <w:p w14:paraId="22D8EB34" w14:textId="77777777" w:rsidR="001F53BE" w:rsidRPr="001F53BE" w:rsidRDefault="001F53BE" w:rsidP="00A67F32">
      <w:pPr>
        <w:jc w:val="center"/>
        <w:rPr>
          <w:b/>
          <w:bCs/>
        </w:rPr>
      </w:pPr>
    </w:p>
    <w:p w14:paraId="7D845854" w14:textId="03F3CA0D" w:rsidR="326EB931" w:rsidRPr="001F53BE" w:rsidRDefault="001F53BE" w:rsidP="001F53BE">
      <w:pPr>
        <w:rPr>
          <w:b/>
          <w:bCs/>
        </w:rPr>
      </w:pPr>
      <w:r w:rsidRPr="001F53BE">
        <w:rPr>
          <w:b/>
          <w:bCs/>
        </w:rPr>
        <w:t>Signature</w:t>
      </w:r>
      <w:r w:rsidRPr="001F53BE">
        <w:rPr>
          <w:b/>
          <w:bCs/>
        </w:rPr>
        <w:tab/>
      </w:r>
      <w:r w:rsidRPr="001F53BE">
        <w:rPr>
          <w:b/>
          <w:bCs/>
        </w:rPr>
        <w:tab/>
      </w:r>
      <w:r w:rsidRPr="001F53BE">
        <w:rPr>
          <w:b/>
          <w:bCs/>
        </w:rPr>
        <w:tab/>
      </w:r>
      <w:r w:rsidRPr="001F53BE">
        <w:rPr>
          <w:b/>
          <w:bCs/>
        </w:rPr>
        <w:tab/>
      </w:r>
      <w:r w:rsidRPr="001F53BE">
        <w:rPr>
          <w:b/>
          <w:bCs/>
        </w:rPr>
        <w:tab/>
      </w:r>
      <w:r w:rsidRPr="001F53BE">
        <w:rPr>
          <w:b/>
          <w:bCs/>
        </w:rPr>
        <w:tab/>
      </w:r>
      <w:r w:rsidRPr="001F53BE">
        <w:rPr>
          <w:b/>
          <w:bCs/>
        </w:rPr>
        <w:tab/>
      </w:r>
      <w:r w:rsidRPr="001F53BE">
        <w:rPr>
          <w:b/>
          <w:bCs/>
        </w:rPr>
        <w:tab/>
        <w:t>Date</w:t>
      </w:r>
    </w:p>
    <w:p w14:paraId="2CCF1BD8" w14:textId="55A278CE" w:rsidR="326EB931" w:rsidRDefault="326EB931" w:rsidP="326EB931">
      <w:pPr>
        <w:jc w:val="center"/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98"/>
        <w:gridCol w:w="5050"/>
      </w:tblGrid>
      <w:tr w:rsidR="003A7E76" w:rsidRPr="00760C0F" w14:paraId="31EA9749" w14:textId="77777777" w:rsidTr="001F53B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6D081326" w14:textId="6AD48675" w:rsidR="003A7E76" w:rsidRPr="00A67F32" w:rsidRDefault="003A7E76" w:rsidP="003A7E76">
            <w:pPr>
              <w:rPr>
                <w:color w:val="000000" w:themeColor="text1"/>
              </w:rPr>
            </w:pPr>
            <w:r w:rsidRPr="00A67F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Governing Body Attendance Report and Governing Body Member Assessment 202</w:t>
            </w:r>
            <w:r w:rsidR="006F3CF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3/24</w:t>
            </w:r>
          </w:p>
          <w:p w14:paraId="40590391" w14:textId="4B5115F4" w:rsidR="003A7E76" w:rsidRPr="003A7E76" w:rsidRDefault="003A7E76" w:rsidP="001F53BE">
            <w:pPr>
              <w:rPr>
                <w:color w:val="000000" w:themeColor="text1"/>
              </w:rPr>
            </w:pPr>
            <w:r w:rsidRPr="00A67F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Participation at HR</w:t>
            </w:r>
            <w:r w:rsidR="005C6A0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A67F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</w:t>
            </w:r>
            <w:r w:rsidRPr="00A67F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/23 Human Resources Committee </w:t>
            </w:r>
            <w:r w:rsidR="006F3CF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 December</w:t>
            </w:r>
            <w:r w:rsidR="00EC081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A67F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</w:t>
            </w:r>
            <w:r w:rsidR="006F3CF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24</w:t>
            </w:r>
          </w:p>
        </w:tc>
      </w:tr>
      <w:tr w:rsidR="00A67F32" w:rsidRPr="00760C0F" w14:paraId="25F479C4" w14:textId="77777777" w:rsidTr="00E3447D">
        <w:tc>
          <w:tcPr>
            <w:tcW w:w="5298" w:type="dxa"/>
            <w:shd w:val="clear" w:color="auto" w:fill="D9D9D9" w:themeFill="background1" w:themeFillShade="D9"/>
          </w:tcPr>
          <w:p w14:paraId="5CE7CE5A" w14:textId="77777777" w:rsidR="00A67F32" w:rsidRPr="00760C0F" w:rsidRDefault="00A67F32" w:rsidP="001F53BE">
            <w:pPr>
              <w:rPr>
                <w:rFonts w:asciiTheme="minorHAnsi" w:hAnsiTheme="minorHAnsi" w:cstheme="minorHAnsi"/>
                <w:b/>
                <w:bCs/>
              </w:rPr>
            </w:pPr>
            <w:r w:rsidRPr="00760C0F">
              <w:rPr>
                <w:rFonts w:asciiTheme="minorHAnsi" w:hAnsiTheme="minorHAnsi" w:cstheme="minorHAnsi"/>
                <w:b/>
                <w:bCs/>
              </w:rPr>
              <w:t>In-person at TQ Boardroom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14:paraId="43E43C92" w14:textId="77777777" w:rsidR="00A67F32" w:rsidRPr="00760C0F" w:rsidRDefault="00A67F32" w:rsidP="001F53BE">
            <w:pPr>
              <w:rPr>
                <w:rFonts w:asciiTheme="minorHAnsi" w:hAnsiTheme="minorHAnsi" w:cstheme="minorHAnsi"/>
                <w:b/>
                <w:bCs/>
              </w:rPr>
            </w:pPr>
            <w:r w:rsidRPr="00760C0F">
              <w:rPr>
                <w:rFonts w:asciiTheme="minorHAnsi" w:hAnsiTheme="minorHAnsi" w:cstheme="minorHAnsi"/>
                <w:b/>
                <w:bCs/>
              </w:rPr>
              <w:t>via MS Teams</w:t>
            </w:r>
          </w:p>
        </w:tc>
      </w:tr>
      <w:tr w:rsidR="00A67F32" w:rsidRPr="00760C0F" w14:paraId="139BD283" w14:textId="77777777" w:rsidTr="00E3447D">
        <w:tc>
          <w:tcPr>
            <w:tcW w:w="5298" w:type="dxa"/>
          </w:tcPr>
          <w:p w14:paraId="2EF02E0B" w14:textId="0BE8D685" w:rsidR="00A67F32" w:rsidRPr="00760C0F" w:rsidRDefault="00A2313D" w:rsidP="00150FED">
            <w:pPr>
              <w:tabs>
                <w:tab w:val="left" w:pos="34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Lauren McAteer</w:t>
            </w:r>
          </w:p>
        </w:tc>
        <w:tc>
          <w:tcPr>
            <w:tcW w:w="5050" w:type="dxa"/>
          </w:tcPr>
          <w:p w14:paraId="4F232DAB" w14:textId="67CFF87E" w:rsidR="00A67F32" w:rsidRPr="00760C0F" w:rsidRDefault="00A2313D" w:rsidP="001F53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Rose Byrne</w:t>
            </w:r>
          </w:p>
        </w:tc>
      </w:tr>
      <w:tr w:rsidR="00A67F32" w14:paraId="4A00A930" w14:textId="77777777" w:rsidTr="00E3447D">
        <w:tc>
          <w:tcPr>
            <w:tcW w:w="5298" w:type="dxa"/>
          </w:tcPr>
          <w:p w14:paraId="5BE7B9D0" w14:textId="7C84A2D7" w:rsidR="00A67F32" w:rsidRDefault="00A840BE" w:rsidP="001F53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 Snodden</w:t>
            </w:r>
          </w:p>
        </w:tc>
        <w:tc>
          <w:tcPr>
            <w:tcW w:w="5050" w:type="dxa"/>
          </w:tcPr>
          <w:p w14:paraId="63D052AD" w14:textId="77777777" w:rsidR="00A67F32" w:rsidRDefault="00A67F32" w:rsidP="001F53BE">
            <w:pPr>
              <w:rPr>
                <w:rFonts w:asciiTheme="minorHAnsi" w:hAnsiTheme="minorHAnsi" w:cstheme="minorHAnsi"/>
              </w:rPr>
            </w:pPr>
          </w:p>
        </w:tc>
      </w:tr>
      <w:tr w:rsidR="00A67F32" w:rsidRPr="00760C0F" w14:paraId="70C40157" w14:textId="77777777" w:rsidTr="00E3447D">
        <w:tc>
          <w:tcPr>
            <w:tcW w:w="5298" w:type="dxa"/>
          </w:tcPr>
          <w:p w14:paraId="16677753" w14:textId="0C1F050F" w:rsidR="00A67F32" w:rsidRPr="00760C0F" w:rsidRDefault="00A840BE" w:rsidP="001F53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Sheena McKinney</w:t>
            </w:r>
          </w:p>
        </w:tc>
        <w:tc>
          <w:tcPr>
            <w:tcW w:w="5050" w:type="dxa"/>
          </w:tcPr>
          <w:p w14:paraId="1A595950" w14:textId="77777777" w:rsidR="00A67F32" w:rsidRPr="00760C0F" w:rsidRDefault="00A67F32" w:rsidP="001F53BE">
            <w:pPr>
              <w:rPr>
                <w:rFonts w:asciiTheme="minorHAnsi" w:hAnsiTheme="minorHAnsi" w:cstheme="minorHAnsi"/>
              </w:rPr>
            </w:pPr>
          </w:p>
        </w:tc>
      </w:tr>
      <w:tr w:rsidR="00A67F32" w:rsidRPr="00760C0F" w14:paraId="7E675BAE" w14:textId="77777777" w:rsidTr="00E3447D">
        <w:tc>
          <w:tcPr>
            <w:tcW w:w="5298" w:type="dxa"/>
          </w:tcPr>
          <w:p w14:paraId="2A74580C" w14:textId="3E820A70" w:rsidR="00A67F32" w:rsidRPr="00760C0F" w:rsidRDefault="00A840BE" w:rsidP="001F53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Louise Warde Hunter</w:t>
            </w:r>
          </w:p>
        </w:tc>
        <w:tc>
          <w:tcPr>
            <w:tcW w:w="5050" w:type="dxa"/>
          </w:tcPr>
          <w:p w14:paraId="4C629E7F" w14:textId="77777777" w:rsidR="00A67F32" w:rsidRPr="00760C0F" w:rsidRDefault="00A67F32" w:rsidP="001F53B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76A58D3" w14:textId="77777777" w:rsidR="00A67F32" w:rsidRDefault="00A67F32" w:rsidP="00A67F32">
      <w:pPr>
        <w:jc w:val="both"/>
      </w:pPr>
    </w:p>
    <w:sectPr w:rsidR="00A67F32" w:rsidSect="00AB26D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FB63" w14:textId="77777777" w:rsidR="00364B0B" w:rsidRDefault="00364B0B" w:rsidP="00FA19A8">
      <w:pPr>
        <w:spacing w:after="0" w:line="240" w:lineRule="auto"/>
      </w:pPr>
      <w:r>
        <w:separator/>
      </w:r>
    </w:p>
  </w:endnote>
  <w:endnote w:type="continuationSeparator" w:id="0">
    <w:p w14:paraId="0A26B1AB" w14:textId="77777777" w:rsidR="00364B0B" w:rsidRDefault="00364B0B" w:rsidP="00FA19A8">
      <w:pPr>
        <w:spacing w:after="0" w:line="240" w:lineRule="auto"/>
      </w:pPr>
      <w:r>
        <w:continuationSeparator/>
      </w:r>
    </w:p>
  </w:endnote>
  <w:endnote w:type="continuationNotice" w:id="1">
    <w:p w14:paraId="17C262E7" w14:textId="77777777" w:rsidR="000A391C" w:rsidRDefault="000A3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3348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F421734" w14:textId="31E178F4" w:rsidR="001C1AF0" w:rsidRPr="0001401A" w:rsidRDefault="001C1AF0" w:rsidP="001C1AF0">
            <w:pPr>
              <w:pStyle w:val="Footer"/>
              <w:rPr>
                <w:b/>
                <w:bCs/>
              </w:rPr>
            </w:pPr>
            <w:r w:rsidRPr="00AD1A9D">
              <w:t xml:space="preserve">Page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PAGE </w:instrText>
            </w:r>
            <w:r w:rsidRPr="00AD1A9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t xml:space="preserve"> of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NUMPAGES  </w:instrText>
            </w:r>
            <w:r w:rsidRPr="00AD1A9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rPr>
                <w:b/>
                <w:bCs/>
              </w:rPr>
              <w:t xml:space="preserve"> </w:t>
            </w:r>
            <w:r w:rsidRPr="00B162F2">
              <w:rPr>
                <w:b/>
                <w:bCs/>
                <w:color w:val="1F4E79" w:themeColor="accent5" w:themeShade="80"/>
              </w:rPr>
              <w:t>HR</w:t>
            </w:r>
            <w:r w:rsidR="008A272B">
              <w:rPr>
                <w:b/>
                <w:bCs/>
                <w:color w:val="1F4E79" w:themeColor="accent5" w:themeShade="80"/>
              </w:rPr>
              <w:t>24</w:t>
            </w:r>
            <w:r>
              <w:rPr>
                <w:b/>
                <w:bCs/>
                <w:color w:val="1F4E79" w:themeColor="accent5" w:themeShade="80"/>
              </w:rPr>
              <w:t xml:space="preserve"> </w:t>
            </w:r>
            <w:r w:rsidRPr="00B162F2">
              <w:rPr>
                <w:b/>
                <w:bCs/>
                <w:color w:val="1F4E79" w:themeColor="accent5" w:themeShade="80"/>
              </w:rPr>
              <w:t>2</w:t>
            </w:r>
            <w:r>
              <w:rPr>
                <w:b/>
                <w:bCs/>
                <w:color w:val="1F4E79" w:themeColor="accent5" w:themeShade="80"/>
              </w:rPr>
              <w:t>3</w:t>
            </w:r>
            <w:r w:rsidRPr="00B162F2">
              <w:rPr>
                <w:b/>
                <w:bCs/>
                <w:color w:val="1F4E79" w:themeColor="accent5" w:themeShade="80"/>
              </w:rPr>
              <w:t>/2</w:t>
            </w:r>
            <w:r>
              <w:rPr>
                <w:b/>
                <w:bCs/>
                <w:color w:val="1F4E79" w:themeColor="accent5" w:themeShade="80"/>
              </w:rPr>
              <w:t>4</w:t>
            </w:r>
            <w:r w:rsidRPr="00B162F2">
              <w:rPr>
                <w:b/>
                <w:bCs/>
                <w:color w:val="1F4E79" w:themeColor="accent5" w:themeShade="80"/>
              </w:rPr>
              <w:t xml:space="preserve"> </w:t>
            </w:r>
            <w:r w:rsidR="005E1172">
              <w:rPr>
                <w:b/>
                <w:bCs/>
              </w:rPr>
              <w:t xml:space="preserve">Meeting </w:t>
            </w:r>
            <w:r w:rsidR="0001401A">
              <w:rPr>
                <w:b/>
                <w:bCs/>
              </w:rPr>
              <w:t xml:space="preserve">4 December 2023 </w:t>
            </w:r>
            <w:r w:rsidR="005E1172">
              <w:rPr>
                <w:b/>
                <w:bCs/>
              </w:rPr>
              <w:t xml:space="preserve">Minutes </w:t>
            </w:r>
            <w:r w:rsidR="00695483">
              <w:rPr>
                <w:b/>
                <w:bCs/>
              </w:rPr>
              <w:t>FINAL approved 11 March 2024</w:t>
            </w:r>
          </w:p>
        </w:sdtContent>
      </w:sdt>
    </w:sdtContent>
  </w:sdt>
  <w:p w14:paraId="681E3142" w14:textId="77777777" w:rsidR="001C1AF0" w:rsidRDefault="001C1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6F94D" w14:textId="77777777" w:rsidR="00364B0B" w:rsidRDefault="00364B0B" w:rsidP="00FA19A8">
      <w:pPr>
        <w:spacing w:after="0" w:line="240" w:lineRule="auto"/>
      </w:pPr>
      <w:r>
        <w:separator/>
      </w:r>
    </w:p>
  </w:footnote>
  <w:footnote w:type="continuationSeparator" w:id="0">
    <w:p w14:paraId="07E59B85" w14:textId="77777777" w:rsidR="00364B0B" w:rsidRDefault="00364B0B" w:rsidP="00FA19A8">
      <w:pPr>
        <w:spacing w:after="0" w:line="240" w:lineRule="auto"/>
      </w:pPr>
      <w:r>
        <w:continuationSeparator/>
      </w:r>
    </w:p>
  </w:footnote>
  <w:footnote w:type="continuationNotice" w:id="1">
    <w:p w14:paraId="156FBCBA" w14:textId="77777777" w:rsidR="000A391C" w:rsidRDefault="000A3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4E72" w14:textId="63EDDE79" w:rsidR="00FA19A8" w:rsidRPr="00AB26D8" w:rsidRDefault="00AB26D8" w:rsidP="00AB26D8">
    <w:pPr>
      <w:pStyle w:val="Header"/>
      <w:jc w:val="center"/>
      <w:rPr>
        <w:color w:val="FFC000" w:themeColor="accent4"/>
        <w14:textFill>
          <w14:gradFill>
            <w14:gsLst>
              <w14:gs w14:pos="0">
                <w14:schemeClr w14:val="accent4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4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4">
                  <w14:lumMod w14:val="75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</w:pPr>
    <w:r w:rsidRPr="00AB26D8">
      <w:rPr>
        <w:color w:val="FFC000" w:themeColor="accent4"/>
        <w14:textFill>
          <w14:gradFill>
            <w14:gsLst>
              <w14:gs w14:pos="0">
                <w14:schemeClr w14:val="accent4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4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4">
                  <w14:lumMod w14:val="75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  <w:t>Belfast Metropolitan College Human Resources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26E4E"/>
    <w:multiLevelType w:val="hybridMultilevel"/>
    <w:tmpl w:val="8A4850BA"/>
    <w:lvl w:ilvl="0" w:tplc="C0DC4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854"/>
    <w:multiLevelType w:val="hybridMultilevel"/>
    <w:tmpl w:val="AA8E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22854"/>
    <w:multiLevelType w:val="hybridMultilevel"/>
    <w:tmpl w:val="D144A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96F"/>
    <w:multiLevelType w:val="hybridMultilevel"/>
    <w:tmpl w:val="71D43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E3BF8"/>
    <w:multiLevelType w:val="hybridMultilevel"/>
    <w:tmpl w:val="C4603822"/>
    <w:lvl w:ilvl="0" w:tplc="F4F4DC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4E4F"/>
    <w:multiLevelType w:val="hybridMultilevel"/>
    <w:tmpl w:val="E9AE7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E177B1"/>
    <w:multiLevelType w:val="multilevel"/>
    <w:tmpl w:val="483806C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3C450B"/>
    <w:multiLevelType w:val="hybridMultilevel"/>
    <w:tmpl w:val="0D98CEDA"/>
    <w:lvl w:ilvl="0" w:tplc="39DC19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576373">
    <w:abstractNumId w:val="7"/>
  </w:num>
  <w:num w:numId="2" w16cid:durableId="1109541867">
    <w:abstractNumId w:val="4"/>
  </w:num>
  <w:num w:numId="3" w16cid:durableId="1647393227">
    <w:abstractNumId w:val="0"/>
  </w:num>
  <w:num w:numId="4" w16cid:durableId="1695576654">
    <w:abstractNumId w:val="5"/>
  </w:num>
  <w:num w:numId="5" w16cid:durableId="1812020510">
    <w:abstractNumId w:val="1"/>
  </w:num>
  <w:num w:numId="6" w16cid:durableId="1906985898">
    <w:abstractNumId w:val="6"/>
  </w:num>
  <w:num w:numId="7" w16cid:durableId="1079059953">
    <w:abstractNumId w:val="2"/>
  </w:num>
  <w:num w:numId="8" w16cid:durableId="160003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32"/>
    <w:rsid w:val="0001401A"/>
    <w:rsid w:val="00021F1E"/>
    <w:rsid w:val="00042A56"/>
    <w:rsid w:val="00062400"/>
    <w:rsid w:val="00095E26"/>
    <w:rsid w:val="000A391C"/>
    <w:rsid w:val="000B4BC3"/>
    <w:rsid w:val="000C167F"/>
    <w:rsid w:val="000E2AEF"/>
    <w:rsid w:val="000E3370"/>
    <w:rsid w:val="001034F4"/>
    <w:rsid w:val="00103857"/>
    <w:rsid w:val="00117CA3"/>
    <w:rsid w:val="001202C1"/>
    <w:rsid w:val="0014313D"/>
    <w:rsid w:val="001454E4"/>
    <w:rsid w:val="001507AD"/>
    <w:rsid w:val="00150FED"/>
    <w:rsid w:val="0015260C"/>
    <w:rsid w:val="00156FFC"/>
    <w:rsid w:val="001570D2"/>
    <w:rsid w:val="001877B0"/>
    <w:rsid w:val="001A1B0C"/>
    <w:rsid w:val="001A1E94"/>
    <w:rsid w:val="001A55B9"/>
    <w:rsid w:val="001A6024"/>
    <w:rsid w:val="001A6CF7"/>
    <w:rsid w:val="001B7537"/>
    <w:rsid w:val="001C1AF0"/>
    <w:rsid w:val="001D13BD"/>
    <w:rsid w:val="001E13D7"/>
    <w:rsid w:val="001E1D86"/>
    <w:rsid w:val="001F53BE"/>
    <w:rsid w:val="00215119"/>
    <w:rsid w:val="00220E40"/>
    <w:rsid w:val="002324C8"/>
    <w:rsid w:val="002344B4"/>
    <w:rsid w:val="00244E6A"/>
    <w:rsid w:val="00251E89"/>
    <w:rsid w:val="002604B4"/>
    <w:rsid w:val="00274C7E"/>
    <w:rsid w:val="002827CA"/>
    <w:rsid w:val="00295441"/>
    <w:rsid w:val="00297EC7"/>
    <w:rsid w:val="002A6E74"/>
    <w:rsid w:val="002B2D52"/>
    <w:rsid w:val="002D7E7B"/>
    <w:rsid w:val="002E744A"/>
    <w:rsid w:val="002F2D4A"/>
    <w:rsid w:val="002F432A"/>
    <w:rsid w:val="00313CB7"/>
    <w:rsid w:val="00324A5A"/>
    <w:rsid w:val="003345C5"/>
    <w:rsid w:val="0033593C"/>
    <w:rsid w:val="003505A8"/>
    <w:rsid w:val="00355A06"/>
    <w:rsid w:val="00357122"/>
    <w:rsid w:val="00364102"/>
    <w:rsid w:val="00364B0B"/>
    <w:rsid w:val="00375383"/>
    <w:rsid w:val="003810A1"/>
    <w:rsid w:val="003936C8"/>
    <w:rsid w:val="003A3380"/>
    <w:rsid w:val="003A7E76"/>
    <w:rsid w:val="003C0396"/>
    <w:rsid w:val="003C1E15"/>
    <w:rsid w:val="003C2577"/>
    <w:rsid w:val="003C73CC"/>
    <w:rsid w:val="003D2A32"/>
    <w:rsid w:val="003F0FC3"/>
    <w:rsid w:val="003F7B73"/>
    <w:rsid w:val="003F7C33"/>
    <w:rsid w:val="004017F3"/>
    <w:rsid w:val="00401ACE"/>
    <w:rsid w:val="0043399E"/>
    <w:rsid w:val="00436E6E"/>
    <w:rsid w:val="004466AA"/>
    <w:rsid w:val="0046423F"/>
    <w:rsid w:val="00474959"/>
    <w:rsid w:val="00475182"/>
    <w:rsid w:val="0049252E"/>
    <w:rsid w:val="004A75DC"/>
    <w:rsid w:val="004B136E"/>
    <w:rsid w:val="004C0A43"/>
    <w:rsid w:val="004C14F6"/>
    <w:rsid w:val="004C7381"/>
    <w:rsid w:val="004D0549"/>
    <w:rsid w:val="004E287E"/>
    <w:rsid w:val="00503884"/>
    <w:rsid w:val="0052377F"/>
    <w:rsid w:val="00543324"/>
    <w:rsid w:val="00557B7D"/>
    <w:rsid w:val="00577E29"/>
    <w:rsid w:val="00591449"/>
    <w:rsid w:val="00592A38"/>
    <w:rsid w:val="00593A45"/>
    <w:rsid w:val="0059761C"/>
    <w:rsid w:val="005A2A6E"/>
    <w:rsid w:val="005B0BE1"/>
    <w:rsid w:val="005C39F1"/>
    <w:rsid w:val="005C6A06"/>
    <w:rsid w:val="005D6FAD"/>
    <w:rsid w:val="005E1172"/>
    <w:rsid w:val="005F572B"/>
    <w:rsid w:val="00605274"/>
    <w:rsid w:val="006056C9"/>
    <w:rsid w:val="006063C3"/>
    <w:rsid w:val="00610685"/>
    <w:rsid w:val="00612729"/>
    <w:rsid w:val="00616062"/>
    <w:rsid w:val="00642BAD"/>
    <w:rsid w:val="00647119"/>
    <w:rsid w:val="00667CC4"/>
    <w:rsid w:val="00670DFF"/>
    <w:rsid w:val="006736FE"/>
    <w:rsid w:val="00681B96"/>
    <w:rsid w:val="006917A4"/>
    <w:rsid w:val="00695483"/>
    <w:rsid w:val="0069609E"/>
    <w:rsid w:val="006A61E2"/>
    <w:rsid w:val="006B1F3F"/>
    <w:rsid w:val="006B3F36"/>
    <w:rsid w:val="006B4DC9"/>
    <w:rsid w:val="006C3034"/>
    <w:rsid w:val="006C7956"/>
    <w:rsid w:val="006E5B7D"/>
    <w:rsid w:val="006E7CDD"/>
    <w:rsid w:val="006F3CFA"/>
    <w:rsid w:val="00701014"/>
    <w:rsid w:val="00711A6A"/>
    <w:rsid w:val="00714E23"/>
    <w:rsid w:val="007963B6"/>
    <w:rsid w:val="007A2EAC"/>
    <w:rsid w:val="007C2392"/>
    <w:rsid w:val="007D069D"/>
    <w:rsid w:val="007D5F24"/>
    <w:rsid w:val="007E1FAD"/>
    <w:rsid w:val="00810B16"/>
    <w:rsid w:val="008160D7"/>
    <w:rsid w:val="00816CA0"/>
    <w:rsid w:val="00820CFA"/>
    <w:rsid w:val="00821735"/>
    <w:rsid w:val="0083294E"/>
    <w:rsid w:val="00833720"/>
    <w:rsid w:val="00835755"/>
    <w:rsid w:val="008505C0"/>
    <w:rsid w:val="008542F4"/>
    <w:rsid w:val="00862611"/>
    <w:rsid w:val="008718F9"/>
    <w:rsid w:val="0088409C"/>
    <w:rsid w:val="008A272B"/>
    <w:rsid w:val="008A3995"/>
    <w:rsid w:val="008C7087"/>
    <w:rsid w:val="008E2E26"/>
    <w:rsid w:val="008E359C"/>
    <w:rsid w:val="008F233B"/>
    <w:rsid w:val="008F6941"/>
    <w:rsid w:val="00905ADF"/>
    <w:rsid w:val="00920BF4"/>
    <w:rsid w:val="009236DF"/>
    <w:rsid w:val="00924B96"/>
    <w:rsid w:val="0092583E"/>
    <w:rsid w:val="00947EB5"/>
    <w:rsid w:val="0097094D"/>
    <w:rsid w:val="00975860"/>
    <w:rsid w:val="009821B2"/>
    <w:rsid w:val="00993BA4"/>
    <w:rsid w:val="009A31F8"/>
    <w:rsid w:val="009A73EE"/>
    <w:rsid w:val="009A766A"/>
    <w:rsid w:val="009C1690"/>
    <w:rsid w:val="009C6F74"/>
    <w:rsid w:val="009D7604"/>
    <w:rsid w:val="009E0243"/>
    <w:rsid w:val="009F2F42"/>
    <w:rsid w:val="00A2313D"/>
    <w:rsid w:val="00A269DB"/>
    <w:rsid w:val="00A42A70"/>
    <w:rsid w:val="00A44D07"/>
    <w:rsid w:val="00A44D2F"/>
    <w:rsid w:val="00A56CCD"/>
    <w:rsid w:val="00A60974"/>
    <w:rsid w:val="00A67F32"/>
    <w:rsid w:val="00A840BE"/>
    <w:rsid w:val="00A867F9"/>
    <w:rsid w:val="00A9512E"/>
    <w:rsid w:val="00AA0F27"/>
    <w:rsid w:val="00AA642D"/>
    <w:rsid w:val="00AB26D8"/>
    <w:rsid w:val="00AD0006"/>
    <w:rsid w:val="00AE3FF3"/>
    <w:rsid w:val="00AF6E19"/>
    <w:rsid w:val="00B071A0"/>
    <w:rsid w:val="00B10442"/>
    <w:rsid w:val="00B122F2"/>
    <w:rsid w:val="00B23E1F"/>
    <w:rsid w:val="00B27E04"/>
    <w:rsid w:val="00B33F9C"/>
    <w:rsid w:val="00B42326"/>
    <w:rsid w:val="00B45E5A"/>
    <w:rsid w:val="00B60014"/>
    <w:rsid w:val="00B6287C"/>
    <w:rsid w:val="00B67E0B"/>
    <w:rsid w:val="00B80538"/>
    <w:rsid w:val="00B80E74"/>
    <w:rsid w:val="00B84D7C"/>
    <w:rsid w:val="00B9015D"/>
    <w:rsid w:val="00B9031E"/>
    <w:rsid w:val="00B9287F"/>
    <w:rsid w:val="00B95AF6"/>
    <w:rsid w:val="00BA14A1"/>
    <w:rsid w:val="00BA762E"/>
    <w:rsid w:val="00BC1783"/>
    <w:rsid w:val="00BF39C0"/>
    <w:rsid w:val="00BF6EC6"/>
    <w:rsid w:val="00BF7AC3"/>
    <w:rsid w:val="00C0209C"/>
    <w:rsid w:val="00C13D47"/>
    <w:rsid w:val="00C35B09"/>
    <w:rsid w:val="00C41955"/>
    <w:rsid w:val="00C43526"/>
    <w:rsid w:val="00C5043E"/>
    <w:rsid w:val="00C5311E"/>
    <w:rsid w:val="00C5565A"/>
    <w:rsid w:val="00C5589F"/>
    <w:rsid w:val="00C62BBA"/>
    <w:rsid w:val="00C903CD"/>
    <w:rsid w:val="00CB7DDC"/>
    <w:rsid w:val="00CC51F5"/>
    <w:rsid w:val="00CF642D"/>
    <w:rsid w:val="00D03DBF"/>
    <w:rsid w:val="00D1693A"/>
    <w:rsid w:val="00D220EF"/>
    <w:rsid w:val="00D2352D"/>
    <w:rsid w:val="00D318D1"/>
    <w:rsid w:val="00D526E4"/>
    <w:rsid w:val="00D61449"/>
    <w:rsid w:val="00D61844"/>
    <w:rsid w:val="00D70069"/>
    <w:rsid w:val="00D856AB"/>
    <w:rsid w:val="00D8634A"/>
    <w:rsid w:val="00D93965"/>
    <w:rsid w:val="00D96EF5"/>
    <w:rsid w:val="00DA10EC"/>
    <w:rsid w:val="00DD3392"/>
    <w:rsid w:val="00DE0322"/>
    <w:rsid w:val="00DF2730"/>
    <w:rsid w:val="00DF6514"/>
    <w:rsid w:val="00E06514"/>
    <w:rsid w:val="00E104FB"/>
    <w:rsid w:val="00E11634"/>
    <w:rsid w:val="00E308E0"/>
    <w:rsid w:val="00E3447D"/>
    <w:rsid w:val="00E45670"/>
    <w:rsid w:val="00E82A50"/>
    <w:rsid w:val="00EA0206"/>
    <w:rsid w:val="00EA1006"/>
    <w:rsid w:val="00EA19F8"/>
    <w:rsid w:val="00EB4AC5"/>
    <w:rsid w:val="00EC0819"/>
    <w:rsid w:val="00EC22EA"/>
    <w:rsid w:val="00ED3799"/>
    <w:rsid w:val="00ED5BEC"/>
    <w:rsid w:val="00ED7079"/>
    <w:rsid w:val="00F03D91"/>
    <w:rsid w:val="00F05E38"/>
    <w:rsid w:val="00F06EC6"/>
    <w:rsid w:val="00F15441"/>
    <w:rsid w:val="00F2032A"/>
    <w:rsid w:val="00F22FFB"/>
    <w:rsid w:val="00F24B08"/>
    <w:rsid w:val="00F3443B"/>
    <w:rsid w:val="00F35306"/>
    <w:rsid w:val="00F35DFE"/>
    <w:rsid w:val="00F50838"/>
    <w:rsid w:val="00F8015E"/>
    <w:rsid w:val="00F9236C"/>
    <w:rsid w:val="00F944C0"/>
    <w:rsid w:val="00F958EE"/>
    <w:rsid w:val="00FA19A8"/>
    <w:rsid w:val="00FA3866"/>
    <w:rsid w:val="00FC438E"/>
    <w:rsid w:val="00FD57C0"/>
    <w:rsid w:val="326EB931"/>
    <w:rsid w:val="44B0281B"/>
    <w:rsid w:val="5F9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18C15"/>
  <w15:chartTrackingRefBased/>
  <w15:docId w15:val="{EAEAA8E7-D541-45E1-8DF4-57E8C1B9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67F3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7F32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67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9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1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9A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7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95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95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1A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D360A-8681-4A65-BA38-9BD26AD05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2CC15-7FF5-4D4F-BAC5-11EDF0204A3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5772d226-fb2a-4ee0-bab6-ec3129ec478f"/>
    <ds:schemaRef ds:uri="e28edf13-f623-4bcb-af2f-300376b380e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DF017B-169C-4B30-80D1-75FBC54A5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</Words>
  <Characters>5932</Characters>
  <Application>Microsoft Office Word</Application>
  <DocSecurity>4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Coffey (MCoffey)</dc:creator>
  <cp:keywords/>
  <dc:description/>
  <cp:lastModifiedBy>Andrea Browne (AndreaBrowne)</cp:lastModifiedBy>
  <cp:revision>6</cp:revision>
  <cp:lastPrinted>2024-02-12T18:28:00Z</cp:lastPrinted>
  <dcterms:created xsi:type="dcterms:W3CDTF">2024-03-06T04:17:00Z</dcterms:created>
  <dcterms:modified xsi:type="dcterms:W3CDTF">2024-10-21T13:53:00Z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0x0101009072DEA6764A5E469BCA557C9C5B9428</vt:lpwstr>
  </property>
  <property fmtid="{D5CDD505-2E9C-101B-9397-08002B2CF9AE}" pid="3" name="MediaServiceImageTags">
    <vt:lpwstr/>
  </property>
</Properties>
</file>